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IV.2004.00055 vom 27. Juli 2004</w:t>
      </w:r>
    </w:p>
    <w:p>
      <w:r>
        <w:t>ZH Sozialversicherungsgericht, 2004-07-27, DE</w:t>
      </w:r>
    </w:p>
    <w:p>
      <w:r>
        <w:rPr>
          <w:b/>
        </w:rPr>
        <w:t xml:space="preserve">Quelle: </w:t>
      </w:r>
      <w:r>
        <w:t>https://mcp.opencaselaw.ch/entscheid/zh_sozialversicherungsgericht_IV.2004.00055</w:t>
      </w:r>
    </w:p>
    <w:p>
      <w:r>
        <w:t>FR: ZH_SOZIALVERSICHERUNGSGERICHT IV.2004.00055 du 27 juillet 2004</w:t>
      </w:r>
    </w:p>
    <w:p>
      <w:r>
        <w:t>IT: ZH_SOZIALVERSICHERUNGSGERICHT IV.2004.00055 del 27 luglio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GemÃ¤ss Art. 14 Abs. 1 lit. a IVG umfassen die von der Invalidenversicherung gestÃ¼tzt auf Art. 12 oder 13 IVG (vgl. Urteil des Eidg. Versicherungsgerichts vom 3. Mai 2004 i. Sa. B., I 756/03, wonach mit dem Inkrafttreten der revidierten, seit 1. Januar 2003 gÃ¼ltigen Fassung von Art. 13 Abs. 1 IVG keine materielle Ãnderung eingetreten ist) Ã¼bernommenen medizinischen Eingliederungsmassnahmen die Behandlung, die vom Arzt oder von der Ãrztin selbst oder auf ihre Anordnung durch medizinische Hilfspersonen in Anstalts- oder Hauspflege vorgenommen wird. Beim Entscheid Ã¼ber die GewÃ¤hrung von Ã¤rztlicher Behandlung in Anstalts- oder Hauspflege ist auf den Vorschlag des behandelnden Arztes oder der behandelnden Ãrztin und auf die persÃ¶nlichen VerhÃ¤ltnisse der versicherten Person in billiger Weise RÃ¼cksicht zu nehmen. ZusÃ¤tzliche Kosten, die aus der Hauspflege entstehen, kÃ¶nnen ganz oder teilweise von der Versicherung Ã¼bernommen werden (Art. 14 Abs. 3 IVG). Aufgrund der in der Lehre und Rechtsprechung anerkannten Rechtsfigur der Austauschbefugnis kÃ¶nnen HauspflegebeitrÃ¤ge auch soweit zugesprochen werden, als die erforderliche Hauspflege nicht durch Dritte, sondern durch die Eltern der versicherten Person geleistet worden ist (vgl. BGE 120 V 280 ff.). Â</w:t>
      </w:r>
    </w:p>
    <w:p>
      <w:r>
        <w:t>2.2Â Â Â Â  Nach dem gestÃ¼tzt auf Art. 14 Abs. 3 IVG erlassenen Art. 4 IVV (in der ab 1. Juli 1991 gÃ¼ltigen Fassung) Ã¼bernimmt die Invalidenversicherung die Kosten fÃ¼r zusÃ¤tzlich benÃ¶tigte HilfskrÃ¤fte bis zu einer im Einzelfall festzusetzenden HÃ¶chstgrenze, sofern der invaliditÃ¤tsbedingt zu leistende Betreuungsaufwand in Hauspflege voraussichtlich wÃ¤hrend mehr als drei Monaten das zumutbare Mass Ã¼berschreitet (Abs. 1). Das zumutbare Mass an Betreuungsaufwand ist Ã¼berschritten, sobald im Tagesdurchschnitt invaliditÃ¤tsbedingt zusÃ¤tzliche Pflege von mehr als zwei Stunden oder eine dauernde Ãberwachung notwendig ist (Abs. 2). Die HÃ¶chstgrenze der EntschÃ¤digung im Einzelfall richtet sich nach dem Ausmass des Betreuungsaufwandes. Sie entspricht bei sehr hohem Betreuungsaufwand dem vollen, bei hohem Betreuungsaufwand drei Vierteln, bei mittlerem Betreuungsaufwand der HÃ¤lfte und bei geringem Betreuungsaufwand einem Viertel des HÃ¶chstbetrages der einfachen Altersrente gemÃ¤ss Art. 34 Abs. 3 des Bundesgesetzes Ã¼ber die Alters- und Hinterlassenenversicherung (Abs. 3). Der Betreuungsaufwand gilt als sehr hoch, wenn eine intensive Pflege von tÃ¤glich durchschnittlich mindestens 8 Stunden notwendig ist (Abs. 4 lit. a) und als hoch, wenn eine intensive Pflege von tÃ¤glich durchschnittlich mindestens 6 Stunden notwendig ist (Abs. 4 lit. b).</w:t>
      </w:r>
    </w:p>
    <w:p>
      <w:r>
        <w:t>2.3Â Â Â Â  Da es sich beim Hauspflegebeitrag wie bei einer Invalidenrente (Art. 28 IVG) um eine Dauerleistung handelt, sind fÃ¼r die revisionsweise Ãnderung von BeitrÃ¤gen an die Hauspflege die Bestimmungen Ã¼ber die Rentenrevision sinngemÃ¤ss anwendbar (vgl. AHI-Praxis 2000, S. 160 ff.). Eine Revision des Anspruchs auf den Hauspflegebeitrag ist nur mÃ¶glich, wenn seit der ursprÃ¼nglichen Leistungszusprechung erhebliche TatsachenÃ¤nderungen eingetreten sind (BGE 113 V 17 Erw. 1c; ZAK 1989 S. 173 Erw. 3a). Ob erhebliche Ãnderungen eingetreten sind, beurteilt sich durch Vergleich des Sachverhalts, wie er im Zeitpunkt der ursprÃ¼nglichen LeistungsverfÃ¼gung bestanden hat, mit demjenigen zur Zeit der streitigen RevisionsverfÃ¼gung bzw. des angefochtenen Einspracheentscheides (vgl. BGE 109 V 265 Erw. 4a, siehe auch BGE 112 V 372 Erw. 2b und 390 Erw. 1b). Unerheblich unter revisionsrechtlichen Gesichtspunkten ist dagegen analog der stÃ¤ndigen Rechtsprechung zur Rentenrevision die unterschiedliche Beurteilung eines im Wesentlichen unverÃ¤ndert gebliebenen Sachverhaltes (BGE 112 V 390 Erw. 1 b mit Hinweisen). Wie bei der Rentenrevision ist sodann zu beachten, dass einer VerfÃ¼gung, welche den ursprÃ¼nglichen Betreuungsaufwand bloss bestÃ¤tigt, bei der Bestimmung der zeitlichen Vergleichsbasis keine Rechtserheblichkeit zukommt.</w:t>
      </w:r>
    </w:p>
    <w:p>
      <w:r>
        <w:t>3.Â Â Â Â Â Â  Es ist unbestritten, dass die Versicherte aufgrund der multiplen Geburtsgebrechen und deren Folgen Anspruch auf medizinische Massnahmen in Form von BeitrÃ¤gen an die Hauspflege hat. Streitig und zu prÃ¼fen ist vorliegend einzig, ob im Zeitraum vom 1. Januar 2001 bis 31. Dezember 2003 HauspflegebeitrÃ¤ge entsprechend einem hohen oder sehr hohen Betreuungsaufwand beansprucht werden kÃ¶nnen. Nicht zu prÃ¼fen sind die mit VerfÃ¼gung vom 4. Juni 2004 gestÃ¼tzt auf neues Recht fÃ¼r die Zeit ab 1. Januar 2004 zugesprochenen Leistungen (Urk. 17).</w:t>
      </w:r>
    </w:p>
    <w:p>
      <w:r>
        <w:t>3.1Â Â Â Â  Zur BegrÃ¼ndung des Anspruchs auf HauspflegebeitrÃ¤ge entsprechend einem sehr hohen Betreuungsaufwand wird im Wesentlichen vorgebracht, es sei nicht nachvollziehbar, weshalb die Versicherte als nun 16-JÃ¤hrige weniger betreuungsbedÃ¼rftig sein sollte als im Jahre 1998, als ihr als 11-JÃ¤hrige ein Pflegeaufwand von Ã¼ber 8 Stunden zugestanden worden sei. Vielmehr sei der Aufwand fÃ¼r die Betreuung mit zunehmendem Alter, KÃ¶rpergrÃ¶sse, KÃ¶rperkraft und Gewicht grÃ¶sser geworden (Urk. 1, S. 3). Aus der BedarfsabklÃ¤rung der Kinderspitex des Kantons ZÃ¼rich (vom 8. April 2004; Urk. 13/1) inkl. den dazugehÃ¶rigen Angaben fÃ¼r Verrichtungen wÃ¤hrend des allgemeinen Tagesablaufs sei ersichtlich, dass der tÃ¤gliche Pflegeaufwand fÃ¼r die BeschwerdefÃ¼hrerin mit Sicherheit deutlich Ã¼ber den erforderlichen 8 Stunden liege (Urk. 12 S. 3).</w:t>
      </w:r>
    </w:p>
    <w:p>
      <w:r>
        <w:t>3.2Â Â Â Â  Die Beschwerdegegnerin verweist demgegenÃ¼ber in ihrer Beschwerdeantwort im Wesentlichen auf den AbklÃ¤rungsbericht vom Juli 2003 (richtig: Mai 2003), wonach ein hoher, nicht aber ein sehr hoher Betreuungsaufwand ausgewiesen sei (Urk. 7).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Rechtsanwalt Christoph Lerch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