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IV.2004.00006 vom 21. Juli 2004</w:t>
      </w:r>
    </w:p>
    <w:p>
      <w:r>
        <w:t>ZH Sozialversicherungsgericht, 2004-07-21, DE</w:t>
      </w:r>
    </w:p>
    <w:p>
      <w:r>
        <w:rPr>
          <w:b/>
        </w:rPr>
        <w:t xml:space="preserve">Quelle: </w:t>
      </w:r>
      <w:r>
        <w:t>https://mcp.opencaselaw.ch/entscheid/zh_sozialversicherungsgericht_IV.2004.00006</w:t>
      </w:r>
    </w:p>
    <w:p>
      <w:r>
        <w:t>FR: ZH_SOZIALVERSICHERUNGSGERICHT IV.2004.00006 du 21 juillet 2004</w:t>
      </w:r>
    </w:p>
    <w:p>
      <w:r>
        <w:t>IT: ZH_SOZIALVERSICHERUNGSGERICHT IV.2004.00006 del 21 luglio 2004</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Â Â Â Â Â Â Â Â  Zu den geistigen GesundheitsschÃ¤den, welche in gleicher Weise wie die kÃ¶rperlichen eine InvaliditÃ¤t im Sinne von Art. 4 Abs. 1 IVG (seit 1. Januar 2003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(vgl. BGE 127 V 298 Erw. 4c, 102 V 165; AHI 2001 S. 228 Erw. 2b, 2000 S. 151 Erw. 2a, 1996 S. 302 f. Erw. 2a, S. 305 Erw. 1a und S. 308 f. Erw. 2a sowie ZAK 1992 S. 170 f. Erw. 2a ).</w:t>
      </w:r>
    </w:p>
    <w:p>
      <w:r>
        <w:t>1.2Â Â Â Â  GemÃ¤ss Art. 28 Abs. 1 IVG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1.3Â Â Â Â  Sowohl im Rahmen einer erstmaligen PrÃ¼fung des Rentenanspruches als auch anlÃ¤sslich einer Rentenrevision (Art. 41 IVG, seit 1. Januar 2003 Art. 17 Abs. 1 ATSG) stellt sich unter dem Gesichtspunkt der Art. 4 und 5 IVG (seit 1. Januar 2003 in Verbindung mit Art. 8 Abs. 1 und 3 ATSG) die Frage nach der anwendbaren InvaliditÃ¤tsbemessungsmethode (Art. 28 Abs. 2 IVG, seit 1. Januar 2003 Art. 16 ATSG, und Art. 28 Abs. 3 IVG in Verbindung mit Art. 27 f. IVV).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(vgl. BGE 125 V 150 Erw. 2c mit Hinweisen; AHI 1997 S. 288 ff. Erw. 2b, 1996 S. 197 f. Erw. 1c je mit Hinweisen).</w:t>
      </w:r>
    </w:p>
    <w:p>
      <w:r>
        <w:t>1.4Â Â Â Â  Der Einkommensvergleich gemÃ¤ss Art. 28 Abs. 2 IVG (seit 1. Januar 2003 Art. 16 ATSG)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(vgl.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vgl. BGE 114 V 313 Erw. 3a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4/2004 S. 86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t>2.</w:t>
      </w:r>
    </w:p>
    <w:p>
      <w:r>
        <w:t>2.1Â Â Â Â  Die IV-Stelle begrÃ¼ndete ihren Einspracheentscheid vom 19. November 2003 im Wesentlichen damit, dass die BeschwerdefÃ¼hrerin gestÃ¼tzt auf die Ergebnisse des ABI-Gutachtens vom 30. Oktober 2002 sowohl in einer leichten wie auch mittelschweren TÃ¤tigkeit ohne EinschrÃ¤nkung arbeitsfÃ¤hig sei und damit ein vergleichbares Einkommen wie in der geplanten TÃ¤tigkeit als Lagermitarbeiterin erzielen kÃ¶nne, was eine InvaliditÃ¤t ausschliesse (Urk. 2, Urk. 10/5).</w:t>
      </w:r>
    </w:p>
    <w:p>
      <w:r>
        <w:t>2.2Â Â Â Â  DemgegenÃ¼ber machte der Vertreter der BeschwerdefÃ¼hrerin im Wesentlichen geltend, dass hinsichtlich der ArbeitsfÃ¤higkeit in den Akten erhebliche Diskrepanzen bestehen wÃ¼rden und zudem eine berufliche AbklÃ¤rung angezeigt sei (Urk. 6 S. 2).</w:t>
      </w:r>
    </w:p>
    <w:p>
      <w:r>
        <w:t>2.3Â Â Â Â  GestÃ¼tzt auf die Aussagen der BeschwerdefÃ¼hrerin im AbklÃ¤rungsbericht vom 23. April 2001, dass die finanzielle Situation der Familie eine 100%ige ArbeitstÃ¤tigkeit ihrerseits nÃ¶tig gemacht hÃ¤tte und die Kinderbetreuung mindestens teilweise durch den Mann sichergestellt gewesen wÃ¤re sowie die beigelegte BestÃ¤tigung der A.___ ist die BeschwerdefÃ¼hrerin im Rahmen des vorliegenden Verfahrens als 100 % erwerbstÃ¤tig zu qualifizieren (Urk. 10/64).</w:t>
      </w:r>
    </w:p>
    <w:p>
      <w:r>
        <w:t>2.4Â Â Â Â  Die fÃ¼r das ABI-Gutachten vom 30. Oktober 2002 verantwortlichen FachÃ¤rzte konnten mit Einfluss auf die ArbeitsfÃ¤higkeit keine sicher nachweisliche Diagnose stellen. Ohne Einfluss auf die ArbeitsfÃ¤higkeit diagnostizierten sie eine dissoziative BewegungsstÃ¶rung (ICD-10 F44.4); eine dissoziative SensibilitÃ¤ts- und EmpfindungsstÃ¶rung (ICD-10 F44.6); eine anhaltende somatoforme SchmerzstÃ¶rung (ICD-10 F45.4); eine Entwicklung kÃ¶rperlicher Symptome aus psychischen GrÃ¼nden (ICD-10 F68.0); ein Status nach Verkehrsunfall am 2. September 1999 mit leichter traumatischer Hirnverletzung sowie HWS-Distorsion (ICD-10 S13.4), konsekutiv mit leichtem Zervikalsyndrom ohne Nachweis radikulÃ¤rer und/oder spinaler FunktionsstÃ¶rungen (ICD-10 M53.0), migrÃ¤neformer Cephalea, funktioneller Armparese rechts, ohne neurologisches Substrat, rezidivierenden StÃ¼rzen mit Bewusstseinsverlust, pathologischem EEG-Befund links temporal bis fronto-parietal sowie eine leichte mikrozytÃ¤re AnÃ¤mie, DD: Eisenmangel, Thalassaemia minor (Urk. 10/9 S. 14). In der Konsensbesprechung habe sich fÃ¼r alle Untersucher eine aggravierende BeschwerdefÃ¼hrerin gezeigt. Die vorgegebenen Beschwerden kÃ¶nnten weder aus somatischer noch aus psychiatrischer Sicht mit einem relevanten Krankheitswert in Verbindung gebracht werden. Der Patientin seien jegliche kÃ¶rperlich leichten und mindestens mittelschweren TÃ¤tigkeiten ohne EinschrÃ¤nkung zumutbar. Es bestehe eine massive Diskrepanz zwischen der SelbsteinschÃ¤tzung der Explorandin und der medizinisch-theoretischen Zumutbarkeit. Sie kÃ¶nnten diese Differenz nicht mit KrankheitsgrÃ¼nden erklÃ¤ren, es mÃ¼ssten dafÃ¼r IV-fremde GrÃ¼nde herangezogen werden (Urk. 10/9 S. 15).</w:t>
      </w:r>
    </w:p>
    <w:p>
      <w:r>
        <w:t>2.5Â Â Â Â  Das vorliegende ABI-Gutachten vom 30. Oktober 2002 berÃ¼cksichtigt die bestehenden medizinischen Vorakten, ist fÃ¼r die streitigen Belange umfassend und legt den medizinischen Sachverhalt in einer nachvollziehbaren Weise dar, so dass es ohne weiteres den hÃ¶chstrichterlichen Anforderungen genÃ¼gt. Hinsichtlich des neusten Ã¤rztlichen Berichts der Klinik fÃ¼r Rheumatologie und Rehabilitation des Stadtspitals Triemli ist anzumerken, dass dieser keinen neuen Sachverhalt beschreibt und zudem in Ãbereinstimmung mit den Ergebnissen des ABI-Gutachtens feststellt, dass sich aus streng rheumatologischer Sicht keine Untersuchungsbefunde ergeben wÃ¼rden, welche eine ArbeitsunfÃ¤higkeit begrÃ¼nden kÃ¶nnten (Urk. 10/26 S. 2). Es kann somit ohne weiteres von einer 100%igen ArbeitsfÃ¤higkeit in einer leichten wie auch mittelschweren TÃ¤tigkeit ausgegangen werden.</w:t>
      </w:r>
    </w:p>
    <w:p>
      <w:r>
        <w:t>3.Â Â Â Â Â Â  GemÃ¤ss BestÃ¤tigung der A.___ vom 20. November 2000 hÃ¤tte die BeschwerdefÃ¼hrerin im Gesundheitsfall per 1. September 1999 eine Stelle als Lagermitarbeiterin antreten kÃ¶nnen, bei welcher sie ein Einkommen von Fr. 3'500.--Â  erzielt hÃ¤tte (Urk. 10/64 S. 4). Dem entspricht per 2000 (Zeitpunkt des frÃ¼hstmÃ¶glichen Rentenbeginns, Beginn des Wartejahres: 2. September 1999) ein Jahreseinkommen von rund Fr. 42'662.-- (Stand 1999: 2156, Stand 2000: 2190; Die Volkswirtschaft, 1-2004, S. 95, Tabelle B 10.3).</w:t>
      </w:r>
    </w:p>
    <w:p>
      <w:r>
        <w:t>Â Â Â Â Â Â Â Â  Da gemÃ¤ss neuerer Rechtsprechung drei Dokumentationen Ã¼ber ArbeitsplÃ¤tze (DAP) fÃ¼r eine zuverlÃ¤ssige Bestimmung des Invalideneinkommens nicht genÃ¼gen (BGE 129 V 472; Urteil des EidgenÃ¶ssischen Versicherungsgerichts vom 26. Mai 2004, I 364/01), ist dieses gemÃ¤ss stÃ¤ndiger Praxis anhand der statistischen Durchschnittswerte der Schweizerischen Lohnstrukturerhebung (LSE) zu ermitteln (BGE 126 V 76): Der monatliche Bruttolohn (Zentralwert) weiblicher ArbeitskrÃ¤fte im privaten Sektor fÃ¼r einfache und repetitive TÃ¤tigkeiten betrug im Jahre 2000 im Gesamtdurchschnitt Fr. 3'658.-- (Die Schweizerische Lohnstrukturerhebung 2000, hrsg. vom Bundesamt fÃ¼r Statistik, NeuchÃ¢tel 2002, S. 31, Tabelle TA1). Nach BerÃ¼cksichtigung der durchschnittlichen Arbeitszeit von 41,8 Stunden pro Woche ergibt sich ein Einkommen von rund Fr. 3'822.--, was einem jÃ¤hrlichen Einkommen von rund Fr. 45'864.-- entspricht. Selbst wenn man davon aufgrund der auslÃ¤ndischen StaatsangehÃ¶rigkeit der BeschwerdefÃ¼hrerin einen Abzug von 5 % - vornÃ¤hme ergÃ¤be, sich noch immer ein zumutbares Invalideneinkommen von rund Fr. 43'570.--, was keine InvaliditÃ¤t zu begrÃ¼nden vermag. Es besteht somit weder ein Anspruch auf Eingliederungsmassnahmen noch ein Rentenanspruch.</w:t>
      </w:r>
    </w:p>
    <w:p>
      <w:r>
        <w:t>4.Â Â Â Â Â Â  Zusammenfassend fÃ¼hrt dies zur BestÃ¤tigung des angefochtenen Einspracheentscheids vom 19. November 2003 sowie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Internationaler Rechtsdienst</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