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IV.2003.00439 vom 14. November 2003</w:t>
      </w:r>
    </w:p>
    <w:p>
      <w:r>
        <w:t>ZH Sozialversicherungsgericht, 2003-11-14, DE</w:t>
      </w:r>
    </w:p>
    <w:p>
      <w:r>
        <w:rPr>
          <w:b/>
        </w:rPr>
        <w:t xml:space="preserve">Quelle: </w:t>
      </w:r>
      <w:r>
        <w:t>https://mcp.opencaselaw.ch/entscheid/zh_sozialversicherungsgericht_IV.2003.00439</w:t>
      </w:r>
    </w:p>
    <w:p>
      <w:r>
        <w:t>FR: ZH_SOZIALVERSICHERUNGSGERICHT IV.2003.00439 du 14 novembre 2003</w:t>
      </w:r>
    </w:p>
    <w:p>
      <w:r>
        <w:t>IT: ZH_SOZIALVERSICHERUNGSGERICHT IV.2003.00439 del 14 novembre 2003</w:t>
      </w:r>
    </w:p>
    <w:p>
      <w:pPr>
        <w:pStyle w:val="Heading2"/>
      </w:pPr>
      <w:r>
        <w:t>Erwägungen</w:t>
      </w:r>
    </w:p>
    <w:p>
      <w:r>
        <w:rPr>
          <w:b/>
        </w:rPr>
        <w:t>E. 1</w:t>
      </w:r>
    </w:p>
    <w:p>
      <w:r>
        <w:t>Am 11. August 2002 ersuchte X.___ , vertreten durch seinen Vater Y.___ , die Sozialversicherungsanstalt des Kantons Zürich, IV-Stelle, um Übernahme der Kosten für ein GPS-Navigationssystem im Auto im Betrag von Fr. 2'700.--, da er dieses Gerät für seine Erwerbstätigkeit benötige (Urk. 4/26, Urk. 4/28). Mit Verfügung vom 13. Februar 2003 wies die IV-Stelle das Begeh ren ab (Urk. 4/4). In der Eingabe vom 15. Juli 2003 an die IV-Stelle führte der Versicherte aus, aus verschiedenen Gründen sei der Termin für einen Wiedererwägungsantrag verpasst worden; er stelle trotzdem den Antrag um nochmalige Überprüfung der Angelegenheit (Urk. 4/17). Daraufhin verfügte die IV-Stelle am 18. Juli 2003, auf das Wiedererwägungs gesuch trete sie nicht ein, da keine neuen Tatsachen geltend gemacht worden seien (Urk. 4/3), und entschied am 21. Juli 2003, auf die Einsprache vom 15. Juli 2003 gegen die Verfügung vom 13. Februar 2003 werde nicht eingetreten, da die Einsprache verspätet erhoben worden sei (Urk. 4/2 = Urk. 2).</w:t>
      </w:r>
    </w:p>
    <w:p>
      <w:r>
        <w:rPr>
          <w:b/>
        </w:rPr>
        <w:t>E. 2</w:t>
      </w:r>
    </w:p>
    <w:p>
      <w:r>
        <w:t>Gemäss Art. 61 lit . b des Bundesgesetzes über den Allgemeinen Teil des Sozial versicherungsrechts (ATSG) hat die Beschwerde ans Sozialversicherungsgericht unter anderem die Begehren und deren Begründung mit Angabe der Beweis mittel zu enthalten. Diese Bestimmung soll dem Gericht hinreichende Klarheit darüber verschaffen, worum es beim Rechtsstreit geht. Dabei genügt es, wenn dies der Beschwerde insgesamt entnommen werden kann. Insbesondere muss zumindest aus der Beschwerdebegründung ersichtlich sein, was der Beschwer deführer verlangt und auf welche Tatsachen er sich beruft. Die Begründung braucht nicht zuzutreffen, aber sie muss sachbezogen sein. Fehlt der Antrag oder die Begründung überhaupt und lassen diese sich auch nicht der Beschwer deschrift entnehmen, so liegt keine rechtsgenügliche Beschwerde vor, weshalb auf sie nicht eingetreten werden kann (BGE 123 V 336 Erw . 1a mit Hinweisen).</w:t>
      </w:r>
    </w:p>
    <w:p>
      <w:r>
        <w:t>Nach der Rechtsprechung des Eidgenössischen Versicherungsgerichts genügt eine Beschwerde gegen einen Nichteintretensentscheid, die sich - ungeachtet ei nes allenfalls vorhandenen Antrags - lediglich mit der materiellen Seite des Streitfalles befasst, dem Erfordernis einer sachbezogenen Begründung nicht. Da dem Formerfordernis einer sachbezogenen Begründung nur dann Genüge getan ist, wenn aus der Beschwerde ersichtlich ist, in welchen Punkten und weshalb der angefochtene Entscheid beanstandet wird, muss sich bei Anfechtung eines Nichteintretensentscheides die Beschwerdebegründung notwendigerweise mit dieser Frage befassen (BGE 123 V 337 f. Erw . 1b mit zahlreichen Hinweisen).</w:t>
      </w:r>
    </w:p>
    <w:p>
      <w:r>
        <w:rPr>
          <w:b/>
        </w:rPr>
        <w:t>E. 3</w:t>
      </w:r>
    </w:p>
    <w:p>
      <w:r>
        <w:t>Zustellung gegen Empfangsschein an: - Y.___ unter Beilage einer Kopie von Urk. 3 - Sozialversicherungsanstalt des Kantons Zürich, IV-Stelle - Bundesamt für Sozialversicherung</w:t>
      </w:r>
    </w:p>
    <w:p>
      <w:r>
        <w:rPr>
          <w:b/>
        </w:rPr>
        <w:t>E. 4</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Die Gerichtssekretärin Fehr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