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IV.2003.00324 vom 26. November 2003</w:t>
      </w:r>
    </w:p>
    <w:p>
      <w:r>
        <w:t>ZH Sozialversicherungsgericht, 2003-11-26, DE</w:t>
      </w:r>
    </w:p>
    <w:p>
      <w:r>
        <w:rPr>
          <w:b/>
        </w:rPr>
        <w:t xml:space="preserve">Quelle: </w:t>
      </w:r>
      <w:r>
        <w:t>https://mcp.opencaselaw.ch/entscheid/zh_sozialversicherungsgericht_IV.2003.00324</w:t>
      </w:r>
    </w:p>
    <w:p>
      <w:r>
        <w:t>FR: ZH_SOZIALVERSICHERUNGSGERICHT IV.2003.00324 du 26 novembre 2003</w:t>
      </w:r>
    </w:p>
    <w:p>
      <w:r>
        <w:t>IT: ZH_SOZIALVERSICHERUNGSGERICHT IV.2003.00324 del 26 novembre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1.1Â Â Â Â  GemÃ¤ss Art. 49 Abs. 4 des Bundesgesetzes Ã¼ber den Allgemeinen Teil des Sozialversicherungsrechts (ATSG) ist eine VerfÃ¼gung, welche die Leistungspflicht eines anderen TrÃ¤gers berÃ¼hrt, auch ihm zu erÃ¶ffnen. Dieser kann die gleichen Rechtsmittel ergreifen wie die versicherte Person. Ebenso hat die IV-Stelle nach Art. 76 Abs. 1 lit. i der Verordnung Ã¼ber die Invalidenversicherung (IVV) die VerfÃ¼gung insbesondere der zustÃ¤ndigen Einrichtung der beruflichen Vorsorge zu erÃ¶ffnen, soweit die VerfÃ¼gung deren Leistungspflicht nach Art. 66 Abs. 2 und Art. 70 ATSG berÃ¼hrt.</w:t>
      </w:r>
    </w:p>
    <w:p>
      <w:r>
        <w:t>1.2Â Â Â Â  Im Zusammenhang mit koordinationsrechtlich bedeutsamen LeistungsverfÃ¼gungen sind stets sowohl dem mitbetroffenen Sozialversicherer als auch der versicherten Person selbst GehÃ¶rs- und Parteirechte einzurÃ¤umen, und zwar unbekÃ¼mmert darum, welcher der Beteiligten VerfÃ¼gungsadressat ist oder ein Rechtsmittel ergreift. Dabei kann das kantonale Versicherungsgericht, das feststellt, dass eine koordinationsrechtlich relevante LeistungsverfÃ¼gung dem mitbetroffenen SozialversicherungstrÃ¤ger nicht erÃ¶ffnet worden ist, diese Verletzung von GehÃ¶rs- und Parteirechten durch Beiladung des mitbetroffenen SozialversicherungstrÃ¤gers im gerichtlichen Verfahren selber heilen. Eine solche Verpflichtung besteht jedoch nicht. Da die Wahrung der GehÃ¶rs- und Parteirechte der mitbetroffenen Sozialversicherer vielmehr in erster Linie dem verfÃ¼gungserlassenden Sozialversicherer obliegt, ist das Gericht berechtigt, die Sache an diesen zwecks ordnungsgemÃ¤sser ErÃ¶ffnung des Verwaltungsentscheides zurÃ¼ckzuweisen (vergleiche RKUV 1997 Nr. U 270 S. 143 ff.). Diese im Zusammenhang mit Art. 129 der Verordnung Ã¼ber die Unfallversicherung (UVV) entwickelte Praxis des EidgenÃ¶ssischen Versicherungsgerichtes ist auch auf die Anwendung von Art. 49 Abs. 4 ATSG Ã¼bertragbar, weil die beiden Bestimmungen inhaltlich Ã¼bereinstimmen (vgl. BGE 129 V 75 f. Erw. 4.2 und 150).</w:t>
      </w:r>
    </w:p>
    <w:p>
      <w:r>
        <w:t>2.Â Â Â Â Â Â  Die Beschwerdegegnerin hat eine TeilinvaliditÃ¤t der BeschwerdefÃ¼hrerin im erwerblichen Bereich von 40 % erkannt (VerfÃ¼gung vom 22. Mai 2003; Urk. 8/7). Da bei teilerwerbstÃ¤tigen versicherten Personen fÃ¼r die Leistungspflicht in der beruflichen Vorsorge grundsÃ¤tzlich nur derjenige InvaliditÃ¤tsgrad massgebend ist, der fÃ¼r den erwerblichen Bereich resultiert (BGE 120 V 109 Erw. 4b) und die BeschwerdefÃ¼hrerin in der Beamtenversicherungskasse des Kantons ZÃ¼rich versichert war, einer Vorsorgeeinrichtung, die bereits ab einer teilweisen InvaliditÃ¤t von 25 % Leistungen erbringt (vergleiche Â§ 22 der Statuten der Versicherungskasse fÃ¼r das Staatspersonal), ergibt sich, dass die Beschwerdegegnerin hinsichtlich InvaliditÃ¤tsleistungen eine VerfÃ¼gung erliess, die die Vorsorgeeinrichtung in der Leistungspflicht offensichtlich berÃ¼hrt.</w:t>
      </w:r>
    </w:p>
    <w:p>
      <w:r>
        <w:t>Dabei ist das "BerÃ¼hren" der Leistungspflicht in einem weiten Sinn zu verstehen; namentlich liegt ein BerÃ¼hren auch vor, wenn der verfÃ¼gende VersicherungstrÃ¤ger seine eigene Leistungspflicht generell verneint (vergleiche BGE 115 V 425, RKUV 1997 Nr. U 270 S. 144 Erw. 2a). Sodann sind nach der Rechtsprechung des EidgenÃ¶ssischen Versicherungsgerichtes die Vorsorgeeinrichtungen auch an den Entscheid der Invalidenversicherung darÃ¼ber, ob eine Person als voll, teil- oder als nichterwerbstÃ¤tig einzustufen ist, gebunden (BGE 129 V 150). Von einem BerÃ¼hrtsein wird auch dort auszugehen sein, wo sich aufgrund von Gesetzgebung bzw. Rechtsprechung eine Bindung eines VersicherungstrÃ¤gers an die VerfÃ¼gung eines anderen TrÃ¤gers ergibt; dabei kann es sich aber nicht um die direkte Festlegung der Leistungspflicht des anderen VersicherungstrÃ¤gers handeln, da eine solche Entscheidungsbefugnis nicht besteht (vergleiche BGE 120 V 491 f.; Kieser, ATSG-Kommentar, Art. 49 Rz 30).</w:t>
      </w:r>
    </w:p>
    <w:p>
      <w:r>
        <w:t>Da die Beschwerdegegnerin weder die LeistungsverfÃ¼gung vom 22. Mai 2003 noch den Einspracheentscheid vom 2. September 2003 der zustÃ¤ndigen Vorsorgeeinrichtung zugestellt hat, und diese dazu nicht hat Stellung nehmen kÃ¶nnen, wurden deren Parteirechte verletzt. In BerÃ¼cksichtigung der erwÃ¤hnten Rechtsprechung ist daher die Beschwerde in dem Sinne gutzuheissen, dass der Einspracheentscheid aufzuheben und die Sache an die Beschwerdegegnerin zum Erlass einer neuen VerfÃ¼gung unter ordnungsgemÃ¤sser ErÃ¶ffnung an die Vorsorgeeinrichtung zurÃ¼ckzuweisen ist.</w:t>
      </w:r>
    </w:p>
    <w:p>
      <w:r>
        <w:t>3.Â Â Â Â Â Â  Die Beschwerde gegen die prozessleitende VerfÃ¼gung vom 15. Juli 2003 betreffend Fristerstreckung erweist sich bei diesem Ausgang des Verfahrens als gegenstandslos, weshalb darauf nicht einzutreten ist.</w:t>
      </w:r>
    </w:p>
    <w:p>
      <w:r>
        <w:t>4.Â Â Â Â Â Â  Die BeschwerdefÃ¼hrerin hat Anspruch auf eine ProzessentschÃ¤digung. Diese ist gestÃ¼tzt auf Â§ 34 des Gesetzes Ã¼ber das Sozialversicherungsgericht und Â§Â§ 8 und 9 der Verordnung Ã¼ber die sozialversicherungsgerichtlichen GebÃ¼hren, Kosten und EntschÃ¤digungen ohne RÃ¼cksicht auf den Streitwert nach der Bedeutung der Streitsache, nach der Schwierigkeit des Prozesses, dem Zeitaufwand und den Barauslagen festzusetzen. Unter BerÃ¼cksichtigung dieser GrundsÃ¤tze ist der BeschwerdefÃ¼hrerin eine ProzessentschÃ¤digung von Fr. 1'400.-- (inkl. Barauslagen und Mehrwertsteuer) zuzusprechen.</w:t>
      </w:r>
    </w:p>
    <w:p>
      <w:r>
        <w:t>Das Gericht erkennt:</w:t>
      </w:r>
    </w:p>
    <w:p>
      <w:r>
        <w:t>1.Â Â Â Â Â Â Â Â  Die Beschwerde wird in dem Sinne gutgeheissen, dass der angefochtene Einspracheentscheid vom 2. September 2003 aufgehoben und die Sache an die Beschwerdegegnerin zurÃ¼ckgewiesen wird, damit sie eine neue VerfÃ¼gung erlasse und diese auch der zustÃ¤ndigen Einrichtung der beruflichen Vorsorge gehÃ¶rig erÃ¶ffne. Im Ãbrigen wird auf die Beschwerde nicht eingetreten.</w:t>
      </w:r>
    </w:p>
    <w:p>
      <w:r>
        <w:t>2.Â Â Â Â Â Â Â Â  Das Verfahren ist kostenlos.</w:t>
      </w:r>
    </w:p>
    <w:p>
      <w:r>
        <w:t>3.Â Â Â Â Â Â Â Â  Die Beschwerdegegnerin wird verpflichtet, der BeschwerdefÃ¼hrerin eine ProzessentschÃ¤digung von Fr. 1'400.-- (inkl. Barauslagen und Mehrwertsteuer) zu bezahlen.</w:t>
      </w:r>
    </w:p>
    <w:p>
      <w:r>
        <w:t>4.Â Â Â Â Â Â Â Â  Zustellung gegen Empfangsschein an:</w:t>
      </w:r>
    </w:p>
    <w:p>
      <w:r>
        <w:t>- Max S. Merkli unter Beilage einer Kopie von Urk. 11</w:t>
      </w:r>
    </w:p>
    <w:p>
      <w:r>
        <w:t>- Sozialversicherungsanstalt des Kantons ZÃ¼rich, IV-Stelle</w:t>
      </w:r>
    </w:p>
    <w:p>
      <w:r>
        <w:t>- Bundesamt fÃ¼r Sozialversicherung</w:t>
      </w:r>
    </w:p>
    <w:p>
      <w:r>
        <w:t>5.Â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