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IV.2003.00293 vom 28. Juni 2004</w:t>
      </w:r>
    </w:p>
    <w:p>
      <w:r>
        <w:t>ZH Sozialversicherungsgericht, 2004-06-28, DE</w:t>
      </w:r>
    </w:p>
    <w:p>
      <w:r>
        <w:rPr>
          <w:b/>
        </w:rPr>
        <w:t xml:space="preserve">Quelle: </w:t>
      </w:r>
      <w:r>
        <w:t>https://mcp.opencaselaw.ch/entscheid/zh_sozialversicherungsgericht_IV.2003.00293</w:t>
      </w:r>
    </w:p>
    <w:p>
      <w:r>
        <w:t>FR: ZH_SOZIALVERSICHERUNGSGERICHT IV.2003.00293 du 28 juin 2004</w:t>
      </w:r>
    </w:p>
    <w:p>
      <w:r>
        <w:t>IT: ZH_SOZIALVERSICHERUNGSGERICHT IV.2003.00293 del 28 giugno 2004</w:t>
      </w:r>
    </w:p>
    <w:p>
      <w:pPr>
        <w:pStyle w:val="Heading2"/>
      </w:pPr>
      <w:r>
        <w:t>Erwägungen</w:t>
      </w:r>
    </w:p>
    <w:p>
      <w:r>
        <w:rPr>
          <w:b/>
        </w:rPr>
        <w:t>E. 1</w:t>
      </w:r>
    </w:p>
    <w:p>
      <w:r>
        <w:t>1.1Â Â Â Â  Am 1. Januar 2004 sind die am 21. MÃ¤rz respektive 21. Mai 2003 revidierten Bestimmungen des Bundesgesetzes Ã¼ber die Invalidenversicherung (IVG) und der Verordnung Ã¼ber die Invalidenversicherung (IVV) in Kraft getreten. In zeitlicher Hinsicht sind grundsÃ¤tzlich diejenigen RechtssÃ¤tze massgebend, die bei ErfÃ¼llung des zu Rechtsfolgen fÃ¼hrenden Tatbestandes Geltung haben (BGE 126 V 136 Erw. 4b mit Hinweisen). Demnach ist die rechtliche Beurteilung des angefochtenen Einspracheentscheides anhand der bis 31. Dezember 2003 gÃ¼ltig gewesenen Rechtsvorschriften vorzunehmen, die nachfolgend auch in dieser Fassung zitiert werden.</w:t>
      </w:r>
    </w:p>
    <w:p>
      <w:r>
        <w:t>1.2Â Â Â Â  Mit VerfÃ¼gung vom 16. September 2003 (Urk. 10/1) ernannte die Beschwerdegegnerin Rechtsanwalt Dr. Kurt Sintzel zum unentgeltlichen Rechtsbeistand des Â Â  BeschwerdefÃ¼hrers und sprach ihm fÃ¼r das IV-Verwaltungsverfahren eine Â Â  EntschÃ¤digung von Fr. 1'070.75 zu, worauf der Rechtsvertreter des BeschwerdefÃ¼hrers sein diesbezÃ¼gliches Begehren zurÃ¼ckzog (Urk. 7). In diesem Umfang ist die Beschwerde als gegenstandslos geworden abzuschreiben.</w:t>
      </w:r>
    </w:p>
    <w:p>
      <w:r>
        <w:rPr>
          <w:b/>
        </w:rPr>
        <w:t>E. 2</w:t>
      </w:r>
    </w:p>
    <w:p>
      <w:r>
        <w:t>/</w:t>
      </w:r>
    </w:p>
    <w:p>
      <w:r>
        <w:rPr>
          <w:b/>
        </w:rPr>
        <w:t>E. 3</w:t>
      </w:r>
    </w:p>
    <w:p>
      <w:r>
        <w:t>3.1Â Â Â Â  Aus den Akten ergibt sich und ist im Ãbrigen unbestritten, dass der BeschwerdefÃ¼hrer in seiner bisherigen kÃ¶rperlich schweren TÃ¤tigkeit als Kabelverleger nicht mehr arbeitsfÃ¤hig ist. Streitig und zu prÃ¼fen ist jedoch die ArbeitsfÃ¤higkeit in einer behinderungsangepassten TÃ¤tigkeit und damit zusammenhÃ¤ngend die ErwerbsfÃ¤higkeit.</w:t>
      </w:r>
    </w:p>
    <w:p>
      <w:r>
        <w:t>3.2Â Â Â Â  Die mit dem BeschwerdefÃ¼hrer befassten Ãrzte der somatisch-medizinischen Fachrichtungen stimmten in der Diagnosestellung im Wesentlichen Ã¼berein. Die im Institut fÃ¼r RÃ¶ntgendiagnostik des Spitals E.___ am 29. Juni 1998 angefertigten RÃ¶ntgenaufnahmen (vergleiche Urk. 10/25) zeigten im Bereich der LendenwirbelsÃ¤ule eine mittelschwere Osteochondrose und Spondylose von BrustwirbelkÃ¶rper 11 bis LendenwirbelkÃ¶rper 1, eine leichte Osteochondrose und Spondylarthrose bei L5/S1 und im Ãbrigen eine leichte Spondylose. Im Bereich der HalswirbelsÃ¤ule war eine partielle Ankylose von C5 bis C7 mit einer ImmobilitÃ¤t der zwei Segmente, eine diskrete InstabilitÃ¤t im Segment C4/5 in den Funktionsaufnahmen und eine leichte Unkovertebralarthrose von C2 bis C4 zu erkennen. Die Ãrzte der Klinik fÃ¼r Rheumatologie und Rehabilitation des Spitals F.___ diagnostizierten im Bericht vom 26. Oktober 1998 (Urk. 10/24) ein lumbospondylogenes Syndrom links mit einer Diskusprotrusion L5/S1 median sowie differentialdiagnostisch ein lumboradikulÃ¤res Syndrom. Im Bericht vom 14. November 1998 (Urk. 10/23) hielten die Ãrzte des Spitals F.___ zusÃ¤tzlich die Diagnosen einer degenerativen LendenwirbelsÃ¤ulenverÃ¤nderung, einer muskulÃ¤ren Dysbalance und eines zervikospondylogenen Syndroms links bei degenerativen HalswirbelsÃ¤ulenverÃ¤nderungen fest. Dr. med. G.___, Ãrztin fÃ¼r Allgemeinmedizin, bestÃ¤tigte mit Schreiben vom 27. November 1999 (Urk. 10/20), dass sie den BeschwerdefÃ¼hrer wegen hohen Blutdrucks medikamentÃ¶s behandle. AnlÃ¤sslich der Untersuchung durch die Ãrzte der MEDAS-C.___ vom 2. Oktober 2002 wurden zusÃ¤tzlich aus rheumatologischer Sicht eine WirbelsÃ¤ulenfehlhaltung/-fehlform, eine Piriformissymptomatik links, eine funktionelle Blockwirbelbildung der HalswirbelsÃ¤ule, eine Haltungsinsuffizienz und Dekonditionierung sowie eine Symptomausweitung bei einer psychosozialen Problemkonstellation diagnostiziert (Urk. 7/18/2 S. 5). Aus neurologischer Sicht wurden ein sensibles Reiz- und Ausfallsyndrom L5 links (radikulÃ¤r; ICD-10 M54.1), ein Schwindel infolge einer peripher-vestibulÃ¤ren Unterfunktion links (ICD-10 H81.9), eine linksbetonte sensorineuronale SchwerhÃ¶rigkeit im Hochtonbereich (ICD-10 I63.9) und ein Status nach einem asymtomatischen Infarkt im rechten hinteren Inselkortex unklarer Aetiologie aufgefÃ¼hrt (Urk. 10/18/3 S. 6). Im MRI des medizinisch radiodiagnostischen Institutes der Klinik H.___ vom 13. Februar 2003 (Urk. 10/32/3) zeigte sich eine leichte Protrusion der zweiten thorakalen Bandscheibe nach medial mit einer Duralsackeindellung und eine Ballonierung der WirbelkÃ¶rper C6 und C7 nach dorsal mit einer leichten Eindellung des Duralsackes von medial. ZusÃ¤tzlich zu den bereits erwÃ¤hnten Diagnosen hielt Dr. med. I.___, Facharzt fÃ¼r Allgemeine Medizin, im Bericht vom 26. Februar 2003 einen chronischen stÃ¶renden Tinnitus im linken Ohr, einen Status nach einer Amaurosis fugax rechts vom 18. Januar 2000, neuropsychologische Defizite (Konzentration), neurovegetative Defizite (Schwitzen) und eine chronische Cephalea fest.</w:t>
      </w:r>
    </w:p>
    <w:p>
      <w:r>
        <w:t>3.3Â Â Â Â  In psychischer Hinsicht diagnostizierten die Ãrzte der MEDAS-C.___ im Gutachten vom 11. Dezember 2002 (Urk. 10/18/4 S. 5) eine leicht- bis mittelgradige depressive Episode (ICD-10 F32.0). Dr. I.___ hielt in seinem Bericht vom 26. Februar 2003 (Urk. 10/32/2) ein reaktives depressives Zustandsbild fest, und Dr. D.___ stellte im Bericht vom 20. August 2003 (Urk. 3/6) die Diagnose einer Depression.</w:t>
      </w:r>
    </w:p>
    <w:p>
      <w:r>
        <w:t>3.4Â Â Â Â  BezÃ¼glich der ArbeitsfÃ¤higkeit in einer behinderungsangepassten TÃ¤tigkeit ging die Beschwerdegegnerin gestÃ¼tzt auf das Gutachten der MEDAS-C.___ von einer 75%igen ArbeitsfÃ¤higkeit aus (Urk. 2). DemgegenÃ¼ber machte der BeschwerdefÃ¼hrer geltend, er sei auch in einer behinderungsangepassten TÃ¤tigkeit nicht mehr als zu 50 % arbeitsfÃ¤hig, eher weniger (Urk. 1 S. 8), wobei er auf die Berichte des Dr. I.___ und Dr. D.___ verwies. Dr. I.___ hatte seine von der MEDAS-C.___ abweichende Beurteilung mit den chronischen therapierefraktÃ¤ren SchmerzzustÃ¤nden, die das Wohlbefinden des BeschwerdefÃ¼hrers massiv einschrÃ¤nkten und ihn nicht mehr in den Arbeitsprozess eingliedern liessen, begrÃ¼ndet. Ausserdem bestehe das reaktiv depressive Zustandsbild, welches sich im Verlauf der Krankheit zunehmend in negativen Symptomen ausgewirkt und fixiert habe. Schliesslich hÃ¤tten zum Zeitpunkt der MEDAS-Untersuchung insbesondere von Seiten der HalswirbelsÃ¤ule nicht alle Unterlagen vorgelegen (Urk.10/32/2 S. 3).</w:t>
      </w:r>
    </w:p>
    <w:p>
      <w:r>
        <w:rPr>
          <w:b/>
        </w:rPr>
        <w:t>E. 4</w:t>
      </w:r>
    </w:p>
    <w:p>
      <w:r>
        <w:t>4.1Â Â Â Â  Soweit Dr. I.___ seine abweichende Beurteilung mit der depressiven Erkrankung des BeschwerdefÃ¼hrers begrÃ¼ndete, ist zu bemerken, dass Dr. I.___ nicht Facharzt fÃ¼r Psychiatrie ist, sodass auf seine Beurteilung der Erkrankung des BeschwerdefÃ¼hrers in diesem Bereich nicht abgestellt werden darf. Die Ã¼brigen, von Dr. I.___ erwÃ¤hnten Diagnosen wie der chronische stÃ¶rende Tinnitus im linken Ohr, der Status nach einer Amaurosis fugax, die neuropsychologischen und neurovegetativen Defizite sowie die chronische Cephalea waren den Ãrzten der MEDAS-C.___ bekannt und wurden im Gutachten ausfÃ¼hrlich gewÃ¼rdigt. Daher ist die Kritik des Dr. I.___ an der EinschÃ¤tzung der ArbeitsfÃ¤higkeit des BeschwerdefÃ¼hrers durch die MEDAS-Ãrzte in diesen Punkten nicht begrÃ¼ndet.</w:t>
      </w:r>
    </w:p>
    <w:p>
      <w:r>
        <w:t>Â Â Â Â Â Â Â Â  Dr. D.___ bescheinigte dem BeschwerdefÃ¼hrer auch fÃ¼r andere Berufe als die zuletzt ausgeÃ¼bte KabelverlegertÃ¤tigkeit zumindest eine 50%ige ArbeitsunfÃ¤higkeit (Urk. 3/6). Er begrÃ¼ndete seine Beurteilung jedoch in keiner Weise, sodass sie durch das Gericht nicht nachvollziehbar ist und nicht darauf abgestellt werden kann.</w:t>
      </w:r>
    </w:p>
    <w:p>
      <w:r>
        <w:t>4.2Â Â Â Â  Der BeschwerdefÃ¼hrer macht geltend, aus dem nach der Untersuchung durch die MEDAS Ãrzte durchgefÃ¼hrten MRI vom 13. Februar 2003 sei ersichtlich, dass sich sein Gesundheitszustand seit der Anfertigung der RÃ¶ntgenbilder vom 29. Juni 1998 verschlechtert habe (Urk. 1 S. 6, Urk. 13 S. 2 und Urk. 10/32/1 S. 4).</w:t>
      </w:r>
    </w:p>
    <w:p>
      <w:r>
        <w:t>Â Â Â Â Â Â Â Â  Wie dargelegt, hatten die Ãrzte des Spitals E.___ aufgrund der RÃ¶ntgenbilder der HalswirbelsÃ¤ule vom 29. Juni 1998 (Urk. 10/25) eine partielle Ankylose von C5 bis C7 diagnostiziert. Die Segmente C5 bis C7 zeigten praktisch keine Bewegung bei den Funktionsaufnahmen. Die entsprechenden Bandscheiben seien schmal und die Deckplatten leicht sklerosiert. Auf der HÃ¶he C 6/7 sei ventral angedeutet eine BrÃ¼ckenbildung und in diesen Segmenten sei der Gelenkspalt der Intervertebralgelenke nur zum Teil abgrenzbar. DemgegenÃ¼ber hielt der RÃ¶ntgenarzt des medizinisch radiodiagnostischen Institutes der Klinik H.___ basierend auf dem MRI vom 13. Februar 2003 fest, es bestehe eine weitgehende Blockwirbelbildung zwischen C6 und C7. SÃ¤mtliche zervikalen Bandscheiben seien dehydriert entsprechend degenerativen VerÃ¤nderungen. Diese Blockwirbelbildung habe, verglichen mit den RÃ¶ntgenbildern von 1998, deutlich zugenommen, und der Bandscheibenraum sei kaum mehr erkennbar (Urk. 10/32/3).</w:t>
      </w:r>
    </w:p>
    <w:p>
      <w:r>
        <w:t>Â Â Â Â Â Â Â Â  Dazu bemerkte Dr. med. J.___ vom medizinischen Dienst der IV-Stelle am 8. April 2003 (Urk. 10/4), die Blockwirbelbildung werde in der Diagnoseliste des rheumatologischen Teilgutachtens (der MEDAS) aufgefÃ¼hrt und sei daher bereits bekannt gewesen. Wesentlich seien aber die klinischen Befunde, aufgrund derer die ArbeitsunfÃ¤higkeit eingeschÃ¤tzt worden sei, und diese seien durch ein polydisziplinÃ¤res Fachgremium erhoben worden.</w:t>
      </w:r>
    </w:p>
    <w:p>
      <w:r>
        <w:t>Â Â Â Â Â Â Â Â  Zutreffend ist, dass im Gutachten der MEDAS vom 11. Dezember 2002 degenerative VerÃ¤nderungen der HalswirbelsÃ¤ule und eine funktionelle Blockwirbelbildung diagnostiziert wurden (Urk. 10/18/1 S. 5). Auch untersuchten die MEDAS-Ãrzte den BeschwerdefÃ¼hrer persÃ¶nlich und erhoben so die klinischen Befunde. Die Beurteilung des medizinischen Sachverhaltes durch die MEDAS-Ãrzte basierte jedoch auf den RÃ¶ntgenbildern vom 29. Juni 1998 (vergleiche Urk. 10/18/1 S. 2, S. 3, S. 6 und S. 7), die zum Zeitpunkt der rheumatologischen und neurologischen Untersuchungen (2. Oktober 2002; Urk. 10/18/2-3) bereits mehr als vier Jahre alt waren. Nachdem der RÃ¶ntgenarzt anlÃ¤sslich der Erstellung des MRI vom 13. Februar 2003 festgestellt hatte, die Blockwirbelbildung C6 und C7 habe, verglichen mit den konventionellen RÃ¶ntgenbildern von 1998, deutlich zugenommen und der Bandscheibenraum sei kaum mehr erkennbar, kann nicht ausgeschlossen werden, dass diese im bildgebenden Verfahren erfassten morphologischen VerÃ¤nderungen auch den klinischen Befund und damit die darauf beruhende Bemessung der ArbeitsfÃ¤higkeit zu beeinflussen vermÃ¶gen. Im Hinblick darauf, dass die auf eine solche MÃ¶glichkeit hinweisenden medizinischen Unterlagen bereits im Verwaltungsverfahren eingereicht worden sind, oblag es der Beschwerdegegnerin, sich im Rahmen des Einspracheverfahrens adÃ¤quat damit auseinander zusetzen. Entgegen der Auffassung von Dr. J.___ geht es nicht allein um die Diagnose einer Blockwirbelbildung, sondern vielmehr darum, ob sich diese seit Juni 1998 verÃ¤ndert und sich dadurch der Gesundheitszustand verschlechtert hat.</w:t>
      </w:r>
    </w:p>
    <w:p>
      <w:r>
        <w:t>Â Â Â Â Â Â Â Â  Bei dieser Sachlage kann auf die Bemessung der RestarbeitsfÃ¤higkeit durch die Experten solange nicht abgestellt werden, bis diese offenen Fragen auf fachÃ¤rztlicher Ebene beantwortet sind. Der angefochtene Einspracheentscheid ist daher aufzuheben, und die Sache ist an die Beschwerdegegnerin zur ergÃ¤nzenden AbklÃ¤rung zurÃ¼ckzuweisen. Auch wenn das MRI vom 13. Februar 2003 erst nach der Ausfertigung des MEDAS-Gutachtens vom 11. Dezember 2002 erstellt wurde, ist es doch geeignet, die Beurteilung der ArbeitsfÃ¤higkeit bezogen auf den damaligen Zeitpunkt zu beeinflussen (BGE 121 V 366 Erw. 1b, 99 V 102 mit Hinweisen).</w:t>
      </w:r>
    </w:p>
    <w:p>
      <w:r>
        <w:t>4.3Â Â Â Â  Was die fachÃ¤rztlich festgestellte ArbeitsfÃ¤higkeit von 75 % aus psychiatrischer Sicht betrifft, ist diese EinschÃ¤tzung nicht zu beanstanden. Die BegrÃ¼ndung, dass die EinschrÃ¤nkung auf der durch die Depression verursachten verminderten emotionalen Belastbarkeit, verbunden mit Konzentrations- und GedÃ¤chtnisstÃ¶rungen leichter AusprÃ¤gung sowie DurchschlafstÃ¶rungen beruhen (Urk. 10/18/1 S. 8), leuchtet ein.</w:t>
      </w:r>
    </w:p>
    <w:p>
      <w:r>
        <w:t>Â Â Â Â Â Â Â Â  Soweit die MEDAS-Ãrzte eine Reintegration des BeschwerdefÃ¼hrers in den Arbeitsprozess wÃ¤hrend sechs Monaten mit einem 50%igen Arbeitspensum postulierten (Urk. 10/18/1 S. 6 und S. 10), ist festzuhalten, dass daraus nicht auf eine dauerhafte gesundheitsbedingte EinschrÃ¤nkung des LeistungsvermÃ¶gens geschlossen werden kann, wie sie fÃ¼r die Zusprechung einer Invalidenrente erforderlich wÃ¤re. Bei der Beurteilung eines Rentenanspruchs ist stets auf die - allenfalls hypothetische - Situation nach Abschluss der zumutbaren beruflichen Eingliederung abzustellen (Art. 28 Abs. 2 IVG; seit 1. Januar 2003 Art. 7 und Art. 16 ATSG), unabhÃ¤ngig davon, ob dafÃ¼r seitens der Invalidenversicherung Vorkehren zu treffen sind oder ob von der versicherten Person aus gesundheitlicher Sicht erwartet werden kann, sich auch ohne entsprechende Hilfestellung wieder in der Arbeitswelt zu integrieren. Allein die Tatsache, dass der BeschwerdefÃ¼hrer vorliegend effektiv Ã¼ber Jahre hinweg keiner ErwerbstÃ¤tigkeit mehr nachgegangen ist, kann dabei keine Rolle spielen (Urteil des EVG vom 22. Mai 2003 i.S. A.; I 755/01 Erw. 2.1).</w:t>
      </w:r>
    </w:p>
    <w:p>
      <w:r>
        <w:rPr>
          <w:b/>
        </w:rPr>
        <w:t>E. 5</w:t>
      </w:r>
    </w:p>
    <w:p>
      <w:r>
        <w:t>5.1Â Â Â Â  Hinsichtlich der Ermittlung der fÃ¼r den Einkommensvergleich massgebenden Erwerbseinkommen wird die Beschwerdegegnerin folgende Punkte zu beachten haben:</w:t>
      </w:r>
    </w:p>
    <w:p>
      <w:r>
        <w:t>5.2Â Â Â Â  Die IV-Stelle bemass das Valideneinkommen gestÃ¼tzt auf den Arbeitgeberbericht vom 14. Oktober 1999 (Urk. 10/57) mit Fr. 56'530.--, wobei sie die Angaben der Arbeitgeberin und die Lohnentwicklung bis VerfÃ¼gungserlass im Jahr 2003 berÃ¼cksichtigte (vergleiche Urk. 10/6 und Urk. 10/16). Zu bemerken ist, dass fÃ¼r den Einkommensvergleich die VerhÃ¤ltnisse beim allfÃ¤lligen Rentenbeginn massegebend sind (BGE 129 V 223 Erw. 4.2 in fine). Vorliegend sind das die EinkommensverhÃ¤ltnisse im Jahr 1999. GemÃ¤ss Arbeitgeberbericht (Urk. 10/57 Ziff. 16) hÃ¤tte der BeschwerdefÃ¼hrer im Jahr 1999 ohne Gesundheitsschaden Fr. 4'155.-- pro Monat verdient. Inklusive 13. Monatslohn ergibt dies ein Valideneinkommen von Fr. 54'015.--. Von diesem Valideneinkommen ist auszugehen.</w:t>
      </w:r>
    </w:p>
    <w:p>
      <w:r>
        <w:t>5.3Â Â Â Â  Das Invalideneinkommen bemass die IV-Stelle mit Fr. 36'923.--. Zur Ermittlung dieses Einkommens zog sie die Schweizerische Lohnstrukturerhebung (LSE) 2000 heran (Urk. 10/36).</w:t>
      </w:r>
    </w:p>
    <w:p>
      <w:r>
        <w:t>Â Â Â Â Â Â Â Â  Dieses Vorgehen ist grundsÃ¤tzlich richtig, doch sind auch fÃ¼r das Invalideneinkommen die EinkommensverhÃ¤ltnisse im Jahr 1999 zu ermitteln. Daher ist die LSE 1998 heranzuziehen. Ausgehend von einem auf eine 40-Stundenwoche standardisierten von mÃ¤nnlichen Arbeitnehmern in der Kategorie 4 (einfache und repetitive TÃ¤tigkeiten) erzielten monatlichen Bruttoeinkommen (inkl. 13. Monatslohn) in der HÃ¶he von Fr. 4'268.-- (S. 25 Tabelle TA1) ergibt dies ein Jahreseinkommen von Fr. 51'216.--. Rechnet man diesen Betrag entsprechend der mÃ¤nnlichen Nominallohnentwicklung von 0,1 % (Lohnentwicklung 1999 T 1.1.93 S. 29, vgl. hierzu BGE 129 V 410 Erw. 3.1.2) per 1999 hoch und passt ihn der damals betriebsÃ¼blichen wÃ¶chentlichen Arbeitszeit von 41,8 Stunden an (vergleiche Die Volkswirtschaft 4/2004 Tabelle B 9.2 S. 86) ergÃ¤be sich bei einer ArbeitsfÃ¤higkeit von 75 % ein Invalideneinkommen von Fr. 40'181.--.</w:t>
      </w:r>
    </w:p>
    <w:p>
      <w:r>
        <w:t>Â Â Â Â Â Â Â Â  Die Beschwerdegegnerin gewÃ¤hrte vom Tabellenlohn einen Abzug von 15 %, weil der BeschwerdefÃ¼hrer nur noch teilzeitlich arbeiten kÃ¶nne und als AuslÃ¤nder mit Status B schlechter entlÃ¶hnt werde. Einen weiteren leidensbedingten Abzug nahm sie nicht vor, da die behinderungsbedingte EinschrÃ¤nkung bereits bei der Reduktion der ArbeitsfÃ¤higkeit berÃ¼cksichtigt sei und der BeschwerdefÃ¼hrer aufgrund seiner beruflichen Vorgeschichte Ã¼ber ein gute Grundausbildung verfÃ¼ge (Urk. 10/36 S. 2). Einen Abzug von 25 % hielt die Beschwerdegegnerin nicht fÃ¼r gerechtfertigt (Urk. 9 S. 2).</w:t>
      </w:r>
    </w:p>
    <w:p>
      <w:r>
        <w:t>Â Â Â Â Â Â Â Â  DemgegenÃ¼ber stellte sich der BeschwerdefÃ¼hrer auf den Standpunkt, dass angesichts seines Ã¤usserst schlechten Gesundheitszustandes und seiner minimalen EinsatzfÃ¤higkeit ein Leidensabzug von 25 % durchaus gerechtfertigt sei (Urk. 13 S. 3).</w:t>
      </w:r>
    </w:p>
    <w:p>
      <w:r>
        <w:t>Das EidgenÃ¶ssische Versicherungsgericht hat in BGE 126 V 75 seine bisherige Rechtsprechung zu den AbzÃ¼gen von den TabellenlÃ¶hnen zusammengefasst und festgestellt, dass die Frage, ob und in welchem Ausmass solche AbzÃ¼ge zu gewÃ¤hren seien, von sÃ¤mtlichen persÃ¶nlichen und beruflichen UmstÃ¤nden des konkreten Einzelfalls abhÃ¤nge. Dabei seien nicht fÃ¼r jedes zur Anwendung gelangende Kriterium separat quantifizierte AbzÃ¼ge vorzunehmen und zu addieren, da auf diese Weise Wechselwirkungen ausgeblendet wÃ¼rden. Vielmehr seien die jeweiligen Merkmale (leidensbedingte EinschrÃ¤nkung, Alter, Dienstjahre, NationalitÃ¤t oder Aufenthaltskategorie und BeschÃ¤ftigungsgrad) nach pflichtgemÃ¤ssem Ermessen gesamthaft zu schÃ¤tzen. Dabei dÃ¼rfe ein Abzug unter BerÃ¼cksichtigung aller den konkreten Fall beeinflussender Kriterien hÃ¶chstens 25 % betragen (BGE 129 V 481 Erw. 4.2.3, 126 V 79 f. Erw. 5b).</w:t>
      </w:r>
    </w:p>
    <w:p>
      <w:r>
        <w:t>Zu berÃ¼cksichtigen ist, dass der BeschwerdefÃ¼hrer trotz der in seinem Heimatland getÃ¤tigten universitÃ¤ren Ausbildung in der Schweiz bei voller Gesundheit nur eine einfache und repetitive handwerkliche TÃ¤tigkeit ausÃ¼ben konnte. Es ist daher nicht anzunehmen, dass er nun mit seiner auch aus psychischen GrÃ¼nden eingeschrÃ¤nkten ArbeitsfÃ¤higkeit eine intellektuell anspruchsvollere TÃ¤tigkeit ausÃ¼ben kÃ¶nnte. Zutreffend ist, dass teilzeitarbeitende MÃ¤nner eine Ã¼berprozentuale Lohneinbusse hinnehmen mÃ¼ssen (LSE 1998 S. 19). Dagegen verdienen Arbeitnehmer mit einer Jahresaufenthalterbewilligung (Bewilligung B) nicht zwingend weniger als niedergelassene AuslÃ¤nder oder Schweizer (LSE 1998 S. 21). Im Bereich der einfachen und repetitiven TÃ¤tigkeiten haben die Faktoren Alter und Sprachkenntnisse keinen grossen Einfluss auf das Einkommen (vgl. AHI 2000 S. 313 Erw. 5a/cc). Daher besteht kein Anlass anzunehmen, dass der BeschwerdefÃ¼hrer wegen seines Alters und wegen seiner eingeschrÃ¤nkten Kenntnisse der deutschen Sprache auf diesem Arbeitsmarkt eine Lohneinbusse hinnehmen muss. Er kann jedoch nur noch leichte wechselbelastende TÃ¤tigkeiten ausÃ¼ben und ist auf dem Arbeitsmarkt in Konkurrenz mit einem Mitbewerber ohne kÃ¶rperliche EinschrÃ¤nkungen benachteiligt. Entgegen der Ansicht der Beschwerdegegnerin ist dieser Umstand in der Bemessung der 75%igen ArbeitsfÃ¤higkeit nicht enthalten. Die UnfÃ¤higkeit, kÃ¶rperlich schwere Arbeiten auszuÃ¼ben, wirkt sich auf das Lohnniveau aus. Unter BerÃ¼cksichtigung aller Faktoren wÃ¤re eine Herabsetzung des Einkommens um 20 % gerechtfertigt. Dies ergÃ¤be ein hypothetisches Invalideneinkommen von Fr. 32'145.--.</w:t>
      </w:r>
    </w:p>
    <w:p>
      <w:r>
        <w:t>Â Â Â Â Â Â Â Â  WÃ¼rde somit das hypothetische Invalideneinkommen von Fr. 32'145.-- in Beziehung gesetzt zum Valideneinkommen von Fr. 54'015.--, so resultierte bei einer Differenz von Fr. 21'870.-- ein InvaliditÃ¤tsgrad von 40,5 %, aufgerundet 41 %. Da bei einem InvaliditÃ¤tsgrad von 41 % ein Anspruch auf eine Viertelsrente und bei Vorliegen eines HÃ¤rtefalls auf eine halbe Invalidenrente besteht, hat die Beschwerdegegnerin selbst unter Annahme einer 75%igen ArbeitsfÃ¤higkeit den Anspruch auf eine Invalidenrente zu Unrecht verneint.</w:t>
      </w:r>
    </w:p>
    <w:p>
      <w:r>
        <w:t>6.Â Â Â Â Â Â  GemÃ¤ss Art. 49 Abs. 4 ATSG, das seit 1. Januar 2003 in Kraft steht, ist eine VerfÃ¼gung, welche die Leistungspflicht eines anderen TrÃ¤gers berÃ¼hrt, auch ihm zu erÃ¶ffnen. Dieser kann die gleichen Rechtsmittel ergreifen wie die versicherte Person. Ebenso hat die IV-Stelle nach Art. 76 Abs. 1 lit. i IVV die VerfÃ¼gung insbesondere der zustÃ¤ndigen Einrichtung der beruflichen Vorsorge zu erÃ¶ffnen, soweit die VerfÃ¼gung deren Leistungspflicht nach Art. 66 Abs. 2 und Art. 70 ATSG berÃ¼hrt.</w:t>
      </w:r>
    </w:p>
    <w:p>
      <w:r>
        <w:t>Dabei ist das "BerÃ¼hren" der Leistungspflicht in einem weiten Sinn zu verstehen; namentlich liegt ein BerÃ¼hren auch vor, wenn der verfÃ¼gende VersicherungstrÃ¤ger seine eigene Leistungspflicht generell verneint (vergleiche BGE 115 V 425, RKUV 1997 Nr. U. 270 S. 144 Erw. 2a). Von einem BerÃ¼hrtsein wird auch dort auszugehen sein, wo sich aufgrund von Gesetzgebung bzw. Rechtsprechung eine Bindung eines VersicherungstrÃ¤gers an die VerfÃ¼gung eines anderen TrÃ¤gers ergibt; dabei kann es sich aber nicht um die direkte Festlegung der Leistungspflicht des anderen VersicherungstrÃ¤gers handeln, da eine solche Entscheidungsbefugnis nicht besteht (vergleiche BGE 120 V 491 f.; Kieser, ATSG-Kommentar, Art. 49 Rz 30).</w:t>
      </w:r>
    </w:p>
    <w:p>
      <w:r>
        <w:t>Â Â Â Â Â Â Â Â  Der BeschwerdefÃ¼hrer ist bei der Sammelstiftung BVG der Allianz Suisse Lebensversicherungsgesellschaft im Rahmen der beruflichen Vorsorge versichert (vergleiche dazu Urk. 18). Die Beschwerdegegnerin hat der zustÃ¤ndigen Einrichtung der beruflichen Vorsorge weder die VerfÃ¼gung vom 4. Februar 2003 noch den Einspracheentscheid vom 12. August 2003 erÃ¶ffnet. Da die Vorsorgeeinrichtung durch den Gerichtsentscheid in ihrer Leistungspflicht offensichtlich berÃ¼hrt ist, ist auch ihr das Urteil zu erÃ¶ffnen.</w:t>
      </w:r>
    </w:p>
    <w:p>
      <w:r>
        <w:t>7.Â Â Â Â Â Â  In diesem Sinne ist die Beschwerde gutzuheissen. Der Einspracheentscheid vom 12. August 2003 ist aufzuheben und die Sache an die IV-Stelle zurÃ¼ckzuweisen, damit sie die offenen Fragen abklÃ¤re.</w:t>
      </w:r>
    </w:p>
    <w:p>
      <w:r>
        <w:t>Â Â Â Â Â Â Â Â  Dabei wird sie eine AbklÃ¤rung der ArbeitsfÃ¤higkeit des BeschwerdefÃ¼hrers aus rheumatologischer und neurologischer Sicht aufgrund der aktuellen Unterlagen anzuordnen haben. Nach Massgabe der neu zu ermittelnden ArbeitsfÃ¤higkeit wird sie den InvaliditÃ¤tsgrad zu bemessen und Ã¼ber den Rentenanspruch neu zu verfÃ¼gen haben. Die RentenverfÃ¼gung ist auch der zustÃ¤ndigen Einrichtung der beruflichen Vorsorge zu erÃ¶ffnen.</w:t>
      </w:r>
    </w:p>
    <w:p>
      <w:r>
        <w:t>8.Â Â Â Â Â Â  Bei diesem Ausgang des Verfahrens hat der BeschwerdefÃ¼hrer Anspruch auf eine ProzessentschÃ¤digung. Diese ist gestÃ¼tzt auf Â§ 34 des Gesetzes Ã¼ber das Sozialversicherungsgericht und Â§Â§ 8 und 9 der Verordnung Ã¼ber die sozialversicherungsgerichtlichen GebÃ¼hren, Kosten und EntschÃ¤digungen ohne RÃ¼cksicht auf den Streitwert nach der Bedeutung der Streitsache, nach der Schwierigkeit des Prozesses, dem Zeitaufwand und den Barauslagen festzusetzen.</w:t>
      </w:r>
    </w:p>
    <w:p>
      <w:r>
        <w:t>Der unentgeltliche Rechtsvertreter des BeschwerdefÃ¼hrers macht gemÃ¤ss der eingereichten Kostennote vom 25. Mai 2004 (Urk. 17) fÃ¼r das Gerichtsverfahren einen Zeitaufwand von 8 Stunden und 50 Minuten sowie Barauslagen in der HÃ¶he von Fr. 52.10 geltend. Beim gerichtsÃ¼blichen Stundenansatz von Fr. 200.-- (zuzÃ¼glich 7,6 % Mehrwertsteuer) und unter BerÃ¼cksichtigung der aufgefÃ¼hrten Barauslagen (zuzÃ¼glich 7,6 % Mehrwertsteuer) resultiert eine ProzessentschÃ¤digung von Fr. 1'957.--.</w:t>
      </w:r>
    </w:p>
    <w:p>
      <w:r>
        <w:t>Die Beschwerdegegnerin ist demnach zu verpflichten, dem unentgeltlichen Rechtsvertreter des BeschwerdefÃ¼hrers eine ProzessentschÃ¤digung von Fr. 1'957.-- (inklusive Barauslagen und Mehrwertsteuer) zu bezahlen.</w:t>
      </w:r>
    </w:p>
    <w:p>
      <w:r>
        <w:t>Das Gericht erkennt:</w:t>
      </w:r>
    </w:p>
    <w:p>
      <w:r>
        <w:t>1.Â Â Â Â Â Â Â Â  Die Beschwerde wird, soweit sie nicht als gegenstandslos geworden abgeschrieben wird, in dem Sinne gutgeheissen, dass der angefochtene Einspracheentscheid vom 12. August 2003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Das Verfahren ist kostenlos.</w:t>
      </w:r>
    </w:p>
    <w:p>
      <w:r>
        <w:t>3.Â Â Â Â Â Â Â Â  Die Beschwerdegegnerin wird verpflichtet, dem unentgeltlichen Rechtsvertreter des BeschwerdefÃ¼hrers, Rechtsanwalt Dr. Kurt Sintzel, eine ProzessentschÃ¤digung von Fr. 1'957.-- (inklusive Barauslagen und Mehrwertsteuer) zu bezahlen.</w:t>
      </w:r>
    </w:p>
    <w:p>
      <w:r>
        <w:t>4.Â Â Â Â Â Â Â Â  Zustellung gegen Empfangsschein an:</w:t>
      </w:r>
    </w:p>
    <w:p>
      <w:r>
        <w:t>- Rechtsanwalt Dr. Kurt Sintzel</w:t>
      </w:r>
    </w:p>
    <w:p>
      <w:r>
        <w:t>- Sozialversicherungsanstalt des Kantons ZÃ¼rich, IV-Stelle</w:t>
      </w:r>
    </w:p>
    <w:p>
      <w:r>
        <w:t>- Bundesamt fÃ¼r Sozialversicherung</w:t>
      </w:r>
    </w:p>
    <w:p>
      <w:r>
        <w:t>- Sammelstiftung BVG der Allianz Suisse Lebensversicherungsgesellschaft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