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IV.2003.00245 vom 30. Juni 2004</w:t>
      </w:r>
    </w:p>
    <w:p>
      <w:r>
        <w:t>ZH Sozialversicherungsgericht, 2004-06-30, DE</w:t>
      </w:r>
    </w:p>
    <w:p>
      <w:r>
        <w:rPr>
          <w:b/>
        </w:rPr>
        <w:t xml:space="preserve">Quelle: </w:t>
      </w:r>
      <w:r>
        <w:t>https://mcp.opencaselaw.ch/entscheid/zh_sozialversicherungsgericht_IV.2003.00245</w:t>
      </w:r>
    </w:p>
    <w:p>
      <w:r>
        <w:t>FR: ZH_SOZIALVERSICHERUNGSGERICHT IV.2003.00245 du 30 juin 2004</w:t>
      </w:r>
    </w:p>
    <w:p>
      <w:r>
        <w:t>IT: ZH_SOZIALVERSICHERUNGSGERICHT IV.2003.00245 del 30 giugno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GemÃ¤ss Art. 49 Abs. 4 ATSG (in Kraft seit 1. Januar 2003) ist eine VerfÃ¼gung, welche die Leistungspflicht eines anderen TrÃ¤gers berÃ¼hrt, auch ihm zu erÃ¶ffnen. Dieser kann die gleichen Rechtsmittel ergreifen wie die versicherte Person. Ebenso hat die IV-Stelle nach Art. 76 Abs. 1 lit. i der Verordnung Ã¼ber die Invalidenversicherung (IVV), der ebenfalls seit 1. Januar 2003 in Kraft steht, die VerfÃ¼gung insbesondere der zustÃ¤ndigen Einrichtung der beruflichen Vorsorge zu erÃ¶ffnen, soweit die VerfÃ¼gung deren Leistungspflicht nach Art. 66 Abs. 2 und Art. 70 ATSG berÃ¼hrt.</w:t>
      </w:r>
    </w:p>
    <w:p>
      <w:r>
        <w:t>2.2Â Â Â Â  Auch vor Inkraftsetzung des ATSG kam der Pflicht zur VerfÃ¼gungserÃ¶ffnung an die betroffene Vorsorgeeinrichtung nicht nur koordinationsrechtlicher Charakter zu, sondern sie war wesentlich verfassungsrechtlich - durch das Gebot, das rechtliche GehÃ¶r zu gewÃ¤hren - geprÃ¤gt. Im Hinblick auf die verbindliche Wirkung der IV-rechtlichen Qualifikation waren die IV-Stellen - unmittelbar gestÃ¼tzt auf die verfassungsrechtliche Pflicht zur GehÃ¶rsgewÃ¤hrung - gehalten, die Vorsorgeeinrichtung(en) spÃ¤testens im Vorbescheidverfahren (Art. 73 bis IVV) in das IV-rechtliche Verfahren einzubeziehen. Kam die IV-Stelle diesen Pflichten zur GehÃ¶rsgewÃ¤hrung an die Vorsorgeeinrichtung nicht nach, vermochte ihr Beschluss keine Bindungswirkungen fÃ¼r die berufliche Vorsorge zu entfalten (vergleiche BGE 129 V 76 Erw. 4.2.2). Der Vorsorgeeinrichtung stand sodann ein selbstÃ¤ndiges Beschwerderecht zu (BGE 129 V 73).</w:t>
      </w:r>
    </w:p>
    <w:p>
      <w:r>
        <w:rPr>
          <w:b/>
        </w:rPr>
        <w:t>E. 3</w:t>
      </w:r>
    </w:p>
    <w:p>
      <w:r>
        <w:t>3.1Â Â Â Â  Die IV-Stelle hat die VerfÃ¼gung vom 30. Dezember 2002 der BeschwerdefÃ¼hrerin unbestrittenermassen (Urk. 12/16) nicht erÃ¶ffnet. Im Einspracheentscheid fÃ¼hrt sie aus, die angefochtene VerfÃ¼gung sei am 30. Dezember 2002 ergangen, und daher sei die am 28. Februar 2003 erhobene Einsprache nach Ablauf der Einsprachefrist erfolgt (Urk. 2). Die Versicherte fÃ¼gt dem hinzu, sie habe der BeschwerdefÃ¼hrerin eine Kopie der VerfÃ¼gung vom 30. Dezember 2002 zugestellt, welche diese spÃ¤testens am 16. Januar 2003 erhalten habe, weshalb die Einsprache- beziehungsweise Beschwerdefrist am 17. Februar 2003 abgelaufen sei und die Einsprache vom 28. Februar 2003 verspÃ¤tet erfolgt sei (Urk. 6 S. 2).</w:t>
      </w:r>
    </w:p>
    <w:p>
      <w:r>
        <w:t>3.2Â Â Â Â  Die nachtrÃ¤gliche Zusendung einer VerfÃ¼gungskopie ist keine formgÃ¼ltige ErÃ¶ffnung (vergleiche Urteil des EidgenÃ¶ssischen Versicherungsgerichtes [EVG] vom 28. Februar 2001 i.S. S; I 676/00). Ebenso wenig kann die Zustellungspflicht der versicherten Person Ã¼bertragen werden. Daher kann entgegen der Auffassung der Beschwerdegegnerin und der Versicherten die Einsprache- beziehungsweise Beschwerdefrist nicht abgelaufen sein, da eine formgÃ¼ltige Zustellung unterblieb.</w:t>
      </w:r>
    </w:p>
    <w:p>
      <w:r>
        <w:t>Â Â Â Â Â Â Â Â  Eine fehlerhafte ErÃ¶ffnung fÃ¼hrt nicht zur Nichtigkeit der VerfÃ¼gung, sondern verlangt wird nur, dass der VerfÃ¼gungsadressat dadurch keinen Nachteil erleidet (Art. 38 des Bundesgesetzes Ã¼ber das Verwaltungsverfahren [VwVG]). Auch die fehlerhaft erÃ¶ffnete VerfÃ¼gung kann somit rechtskrÃ¤ftig werden, nÃ¤mlich dann, wenn der Verwaltungsakt nicht innert vernÃ¼nftiger Frist (BGE 111 V 150 Erw. 4c, 106 V 97 Erw. 2a, 104 V 166 Erw. 3) seit jenem Zeitpunkt in Frage gestellt wird, da der VerfÃ¼gungsadressat Kenntnis vom VerfÃ¼gungsinhalt hat. Der Zeitraum der vernÃ¼nftigen Frist, innert der das Zuwarten berÃ¼cksichtigt wird, bemisst sich praxisgemÃ¤ss nach den besonderen UmstÃ¤nden des Einzelfalls, wobei vor allem darauf abgestellt wird, ob der von der fehlerhaften VerfÃ¼gungserÃ¶ffnung Betroffene Anlass hatte, sich bei der Verwaltung nach dem VerfÃ¼gungserlass zu erkundigen (Urteil des EVG vom 6. August 2002 i.S. B.; I 598/01 Erw. 2.2 mit Hinweisen auf die Rechtsprechung).</w:t>
      </w:r>
    </w:p>
    <w:p>
      <w:r>
        <w:t>Â Â Â Â Â Â Â Â  Die BeschwerdefÃ¼hrerin hat spÃ¤testens am 16. Januar 2003 von der VerfÃ¼gung vom 30. Dezember 2002 Kenntnis erhalten (vergleiche Urk. 7/4). Am 28. Januar 2003 verlangte sie bei der IV-Stelle die vollstÃ¤ndigen Akten (Urk. 20/3) und am 28. Februar 2003 erfolgte die Einsprache (Urk. 12/19). Es kann daher nicht gesagt werden, die BeschwerdefÃ¼hrerin habe den Verwaltungsakt nicht innert vernÃ¼nftiger Frist in Frage gestellt, sodass er ihr gegenÃ¼ber keine Rechtskraft erlangen konnte. Damit ist die Eingabe vom 28. Februar 2003 als rechtzeitige Einsprache beziehungsweise Beschwerde zu betrachten.</w:t>
      </w:r>
    </w:p>
    <w:p>
      <w:r>
        <w:t>3.3Â Â Â Â  Die Versicherte macht geltend, aus dem Urteil des EVG vom 29. November 2002 (BGE 129 V 73) gehe nur hervor, dass ein Entscheid der Invalidenversicherung fÃ¼r die berufliche Vorsorge keine Bindungswirkung zu entfalten vermÃ¶ge, wenn die IV-Stelle ihrer Pflicht zur GehÃ¶rsgewÃ¤hrung an die Vorsorgeeinrichtung nicht nachgekommen sei. Es fÃ¤nden sich jedoch keine Anhaltspunkte in diesem Urteil, dass die VerfÃ¼gung nach Eintritt der Rechtskraft einem Ã¼bergangenen BVG-Versicherer noch einmal ordentlich zuzustellen und eine neue Anfechtungsfrist zu erÃ¶ffnen sei (Urk. 23 S. 2).</w:t>
      </w:r>
    </w:p>
    <w:p>
      <w:r>
        <w:t>Â Â Â Â Â Â Â Â  Wie in Erw. 2.2 ausgefÃ¼hrt, war die IV-Stelle vor Inkrafttreten des ATSG am 1. Januar 2003 verpflichtet, der zustÃ¤ndigen Einrichtung der beruflichen Vorsorge vor Erlass einer RentenverfÃ¼gung das rechtliche GehÃ¶r zu gewÃ¤hren. Dass die IV-Stelle der BeschwerdefÃ¼hrerin das rechtliche GehÃ¶hr nicht gewÃ¤hrt hat, steht aufgrund der Akten fest und wird auch nicht bestritten.</w:t>
      </w:r>
    </w:p>
    <w:p>
      <w:r>
        <w:t>Â Â Â Â Â Â Â Â  Dazu ist zu bemerken, dass die Verletzung des rechtlichen GehÃ¶rs in der Regel ungeachtet der Erfolgsaussichten der Beschwerde in der Sache selber zur Aufhebung der angefochtenen VerfÃ¼gung fÃ¼hrt. Es kommt mit anderen Worten nicht darauf an, ob die AnhÃ¶rung im konkreten Fall fÃ¼r den Ausgang der materiellen Streitentscheidung von Bedeutung ist, das heisst die BehÃ¶rde zu einer Ãnderung ihres Entscheides veranlasst wird oder nicht (BGE 124 V 183 Erw. 4a).</w:t>
      </w:r>
    </w:p>
    <w:p>
      <w:r>
        <w:t>Ob sich aus BGE 129 V 73 ableiten lÃ¤sst, eine Verletzung des rechtlichen GehÃ¶rs durch die IV-Stelle gegenÃ¼ber der mitbetroffenen Vorsorgeeinrichtung fÃ¼hre zur Aufhebung der entsprechenden VerfÃ¼gung, wie das EVG dies im Hinblick auf Art. 129 der Verordnung Ã¼ber die Unfallversicherung bejaht hat, falls der Entscheid des Unfallversicherers nicht ordnungsgemÃ¤ss erÃ¶ffnet wurde (RKUV 1997 Nr. U 270 S. 143 ff.), ist tatsÃ¤chlich fraglich. Diese Frage stellt sich hier indes nicht. Massgebend ist vielmehr, dass das EVG in BGE 129 V 73 die Beschwerde- und Einsprachelegitimation der betroffenen Vorsorgeeinrichtung bejaht hat, und dass die Eingabe der BeschwerdefÃ¼hrerin vom 28. Februar 2003, wie in Erw. 3.2 ausgefÃ¼hrt, eine rechtzeitig erhobene Einsprache beziehungsweise Beschwerde darstellt.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RechtsanwÃ¤ltin Christina Ammann</w:t>
      </w:r>
    </w:p>
    <w:p>
      <w:r>
        <w:t>- Sozialversicherungsanstalt des Kantons ZÃ¼rich, IV-Stelle</w:t>
      </w:r>
    </w:p>
    <w:p>
      <w:r>
        <w:t>- Rechtsdienst fÃ¼r Behinderte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