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IV.2003.00195 vom 16. Dezember 2003</w:t>
      </w:r>
    </w:p>
    <w:p>
      <w:r>
        <w:t>ZH Sozialversicherungsgericht, 2003-12-16, DE</w:t>
      </w:r>
    </w:p>
    <w:p>
      <w:r>
        <w:rPr>
          <w:b/>
        </w:rPr>
        <w:t xml:space="preserve">Quelle: </w:t>
      </w:r>
      <w:r>
        <w:t>https://mcp.opencaselaw.ch/entscheid/zh_sozialversicherungsgericht_IV.2003.00195</w:t>
      </w:r>
    </w:p>
    <w:p>
      <w:r>
        <w:t>FR: ZH_SOZIALVERSICHERUNGSGERICHT IV.2003.00195 du 16 décembre 2003</w:t>
      </w:r>
    </w:p>
    <w:p>
      <w:r>
        <w:t>IT: ZH_SOZIALVERSICHERUNGSGERICHT IV.2003.00195 del 16 dicembre 2003</w:t>
      </w:r>
    </w:p>
    <w:p>
      <w:pPr>
        <w:pStyle w:val="Heading2"/>
      </w:pPr>
      <w:r>
        <w:t>Erwägungen</w:t>
      </w:r>
    </w:p>
    <w:p>
      <w:r>
        <w:rPr>
          <w:b/>
        </w:rPr>
        <w:t>E. 1</w:t>
      </w:r>
    </w:p>
    <w:p>
      <w:r>
        <w:t>1.1Â Â Â Â  Die Beschwerdegegnerin hat im angefochtenen Einspracheentscheid (Urk. 2) eine derartige FÃ¼lle von nur zum Teil auf den strittigen Fall zutreffenden rechtlichen Bestimmungen angefÃ¼hrt, dass darauf nicht verwiesen werden kann.</w:t>
      </w:r>
    </w:p>
    <w:p>
      <w:r>
        <w:t>Sodann findet sich die rechtliche BegrÃ¼ndung fÃ¼r den von der Beschwerdegegnerin vertretenen Standpunkt in der Beschwerdeantwort (Urk. 7).</w:t>
      </w:r>
    </w:p>
    <w:p>
      <w:r>
        <w:t>Es erweist sich deshalb als zweckmÃ¤ssig, nachstehend sowohl die massgebenden rechtlichen Grundlagen darzulegen als auch die von der Beschwerdegegnerin gewÃ¤hlte BegrÃ¼ndung wiederzugeben und auf ihre SchlÃ¼ssigkeit hin zu prÃ¼fen.</w:t>
      </w:r>
    </w:p>
    <w:p>
      <w:r>
        <w:t>1.2Â Â Â Â  Die versicherte Person hat gemÃ¤ss Art. 12 Abs. 1 des Bundesgesetzes Ã¼ber die Invalidenversicherung (IVG) Anspruch auf medizinische Massnahmen, die nicht auf die Behandlung des Leidens an sich, sondern unmittelbar auf die berufliche Eingliederung gerichtet und geeignet sind, die ErwerbsfÃ¤higkeit dauernd und wesentlich zu verbessern oder vor wesentlicher BeeintrÃ¤chtigung zu bewahren.</w:t>
      </w:r>
    </w:p>
    <w:p>
      <w:r>
        <w:t>Eine unmittelbar drohende InvaliditÃ¤t liegt nach der Rechtsprechung nur vor, wenn eine InvaliditÃ¤t in absehbarer Zeit einzutreten droht; sie ist dagegen nicht gegeben, wenn der Eintritt einer ErwerbsunfÃ¤higkeit zwar als gewiss erscheint, der Zeitpunkt ihres Eintritts aber ungewiss ist (BGE 124 V 269 Erw. 4 mit Hinweisen).</w:t>
      </w:r>
    </w:p>
    <w:p>
      <w:r>
        <w:t>1.3Â Â Â Â  Jede Leistung der Invalidenversicherung setzt das Bestehen oder Bevorstehen einer InvaliditÃ¤t voraus, so auch der Anspruch auf - insbesondere medizinische - Eingliederungsmassnahmen: Invalide oder von einer InvaliditÃ¤t unmittelbar bedrohte Versicherte haben Anspruch auf Eingliederungsmassnahmen, soweit diese notwendig und geeignet sind, die ErwerbsfÃ¤higkeit wieder herzustellen, zu verbessern, zu erhalten oder ihre Verwertung zu fÃ¶rdern. Dabei ist die gesamte noch zu erwartende Arbeitsdauer zu berÃ¼cksichtigen.</w:t>
      </w:r>
    </w:p>
    <w:p>
      <w:r>
        <w:t>1.4Â Â Â Â  Art. 12 Abs. 1 IVG verlangt, dass eine medizinische Massnahme die ErwerbsfÃ¤higkeit (dauernd und) wesentlich verbessert oder vor wesentlicher BeeintrÃ¤chtigung bewahrt. Spiegelbildlich dazu liegt eine InvaliditÃ¤t im Sinne dieser Bestimmung nur vor, wenn der zumindest relativ stabilisierte Defektzustand die ErwerbsfÃ¤higkeit wesentlich beeintrÃ¤chtigt. Medizinische Vorkehren gehen nur dann als medizinische Massnahmen zu Lasten der Invalidenversicherung, wenn bei relativ stabilisiertem Zustand eine wesentliche erwerbliche Einbusse droht (Meyer-Blaser, Rechtsprechung zum IVG, ZÃ¼rich 1997, S. 92). Das Ausmass der erwerblichen EinschrÃ¤nkung wird weder von Gesetz und Verordnung, der Rechtsprechung noch in zusammenhÃ¤ngender Weise in Verwaltungsweisungen quantifiziert.</w:t>
      </w:r>
    </w:p>
    <w:p>
      <w:r>
        <w:rPr>
          <w:b/>
        </w:rPr>
        <w:t>E. 2</w:t>
      </w:r>
    </w:p>
    <w:p>
      <w:r>
        <w:t>2.1Â Â Â Â  Im Zusammenhang mit der Behandlung von Augenleiden, insbesondere der Operation einer Katarakt (grauer Star), verweist die Beschwerdegegnerin nun auf eine vonÂ  ihr befolgte Praxis, die offenbar darauf abzielt, die Antwort auf die Frage zu objektivieren, ob die erforderliche InvaliditÃ¤t vorliegt, ob also die versicherte Person durch das Augenleiden wesentlich in ihrer ErwerbsfÃ¤higkeit eingeschrÃ¤nkt ist.</w:t>
      </w:r>
    </w:p>
    <w:p>
      <w:r>
        <w:t>Die angestrebte Objektivierung geschieht dadurch, dass auf die Kriterien abgestellt wird, die im Bereich des Strassenverkehrs darÃ¼ber entscheiden, welche Art von Fahrzeugen eine Person lenken darf. Dies ist in der Verordnung Ã¼ber die Zulassung von Personen und Fahrzeugen zum Strassenverkehr (VZV; SR 741.51) geregelt. Art. 7 VZV bestimmt die medizinischen Mindestanforderungen: Wer ein Motorfahrzeug fÃ¼hrt, fÃ¼r das kein FÃ¼hrerausweis erforderlich ist, muss eine MindestsehschÃ¤rfe korrigiert oder unkorrigiert einseitig von 0,2 erreichen und darf keine extreme GesichtsfeldeinschrÃ¤nkung aufweisen (Art. 7 Abs. 2 VZV). Die Anforderungen beim Erwerb eines FÃ¼hrerausweises sind in Anhang 1 VZV geregelt (Art. 7 Abs. 1 VZV). In Anhang 1 VZV werden drei Gruppen unterschieden, wobei die Anforderungen fÃ¼r die dritte Gruppe (Ausweiskategorien A, B, F, G und M) am geringsten sind. Die Anforderungen an das SehvermÃ¶gen in der dritten Gruppe lauten: ÂEin Auge korrigiert minimal 0,6 das andere korrigiert minimal 0,1. Gesichtsfeld minimal 140Â° horizontal. Kein Doppelsehen.Â</w:t>
      </w:r>
    </w:p>
    <w:p>
      <w:r>
        <w:t>Die Beschwerdegegnerin argumentiert nun, dass eine Person, deren - vermindertes - SehvermÃ¶gen noch zur Erlangung eines Fahrausweises der Kategorie B (normale Personenwagen) genÃ¼gt, in der Regel durch das verminderte SehvermÃ¶gen auch beruflich nicht wesentlich beeintrÃ¤chtigt ist. Bei speziellen beruflichen Anforderungen soll ein Abweichen von den Richtwerten gemÃ¤ss VZV mÃ¶glich sein (vgl. Urk. 7, Urk. 8/9).</w:t>
      </w:r>
    </w:p>
    <w:p>
      <w:r>
        <w:t>2.2Â Â Â Â  GrundsÃ¤tzlich ist das Bestreben der Beschwerdegegnerin, sich regelmÃ¤ssig stellende Fragen nach MÃ¶glichkeit aufgrund objektivierter Kriterien zu beantworten, nicht zu beanstanden. Zu prÃ¼fen ist vorliegend allerdings, ob die gewÃ¤hlte Art der Objektivierung ebenfalls vertretbar ist. DafÃ¼r kÃ¶nnen analogieweise die Kriterien herangezogen werden, die zur Anwendung kommen, wenn die RechtmÃ¤ssigkeit von Verordnungen strittig ist. Danach ist eine Regelung unzulÃ¤ssig, wenn sie sich nicht auf ernsthafte GrÃ¼nde stÃ¼tzen lÃ¤sst, wenn sie sinn- oder zwecklos ist oder wenn sie rechtliche Unterscheidungen trifft, fÃ¼r die sich ein vernÃ¼nftiger Grund nicht finden lÃ¤sst. Gleiches gilt, wenn die Verordnung es unterlÃ¤sst, Unterscheidungen zu treffen, die richtigerweise hÃ¤tten berÃ¼cksichtigt werden sollen (BGE 128 II 40 Erw. 3b, 252 Erw. 3.3, 128 IV 180 Erw. 2.1, 128 V 98 Erw. 5a, 105 Erw. 6a, je mit Hinweisen).</w:t>
      </w:r>
    </w:p>
    <w:p>
      <w:r>
        <w:t>2.3Â Â Â Â  Die von der Beschwerdegegnerin angefÃ¼hrte Praxis zur PrÃ¼fung der Frage, ob bei Augenleiden eine erhebliche erwerbliche BeeintrÃ¤chtigung besteht, ob mithin eine InvaliditÃ¤t im Sinne von Art. 12 Abs. 1 IVG vorliegt, lÃ¤sst sich auch unter dem erwÃ¤hnten Aspekt der GesetzmÃ¤ssigkeitsprÃ¼fung nicht beanstanden.</w:t>
      </w:r>
    </w:p>
    <w:p>
      <w:r>
        <w:rPr>
          <w:b/>
        </w:rPr>
        <w:t>E. 3</w:t>
      </w:r>
    </w:p>
    <w:p>
      <w:r>
        <w:t>3.1Â Â Â Â  Mithin ist zu prÃ¼fen, ob der BeschwerdefÃ¼hrer die Voraussetzungen zur Erlangung eines FÃ¼hrerausweises der Kategorie B erfÃ¼llt.</w:t>
      </w:r>
    </w:p>
    <w:p>
      <w:r>
        <w:t>3.2Â Â Â Â  Dr. C.___ diagnostizierte am 12. MÃ¤rz 2003 einen Altersstar rechts mehr als links. Andere relevante Diagnosen lÃ¤gen nicht vor (Urk. 8/7 S. 1 lit. A). Er bezeichnete den Gesundheitszustand des BeschwerdefÃ¼hrers als besserungsfÃ¤hig (Urk. 8/7 S. 2 lit. C1). Den Visus rechts gab er mit 0,2 und links mit 0,65 an (Urk. 8/7 S. 2 lit. D5). Mit Formularattest vom 24. Februar 2003 hatte Dr. C.___ dem BeschwerdefÃ¼hrer eine 30%ige ArbeitsunfÃ¤higkeit fÃ¼r sieben Wochen attestiert (Urk. 8/8).</w:t>
      </w:r>
    </w:p>
    <w:p>
      <w:r>
        <w:t>3.3Â Â Â Â  Nachdem beim BeschwerdefÃ¼hrer korrigierte Visuswerte von rechts 0,2 und links 0,65 vorliegen, erfÃ¼llt der BeschwerdefÃ¼hrer die medizinischen Voraussetzungen fÃ¼r die Erlangung eines Fahrerausweises der Kategorien A, B, F, G und M, welche ein korrigiertes SehvermÃ¶gen von minimal 0,6 fÃ¼r ein Auge und minimal 0,1 fÃ¼r das andere Auge voraussetzen (vgl. vorstehend Erw. 2.1). Sodann bestehen vorliegend keine Hinweise dafÃ¼r, dass beim BeschwerdefÃ¼hrer spezielle berufliche Anforderungen, wie beispielsweise das Erfordernis binokularen Sehens, zu berÃ¼cksichtigen wÃ¤ren (vgl. das in diesem Zusammenhang bedeutsame Urteil des EidgenÃ¶ssischen Versicherungsgerichts in Sachen X. vom 24. Juli 2003, I 29/02 Erw. 7.1, sowie RKUV 1986 Nr. U 3 S. 258 ff.).</w:t>
      </w:r>
    </w:p>
    <w:p>
      <w:r>
        <w:t>Somit bleibt es bei der Feststellung, dass der BeschwerdefÃ¼hrer die medizinischen Voraussetzungen fÃ¼r die Erlangung eines FÃ¼hrerausweises der Kategorien A, B, F, G und M erfÃ¼llt, weshalb weder eine InvaliditÃ¤t im Sinne von Art. 12 IVG vorliegt noch eine solche droht (vgl. auch vorstehend Erw. 1.1). Daran Ã¤ndert nichts, dass die operative Behandlung des grauen Stars nach stÃ¤ndiger Rechtsprechung des EidgenÃ¶ssischen Versicherungsgerichts nicht auf die Heilung labilen pathologischen Geschehens gerichtet ist, sondern darauf abzielt, das sonst sicher spontan zur Ruhe gelangende und alsdann stabile oder relativ stabilisierte Leiden durch Entfernung der trÃ¼b und daher funktionsuntÃ¼chtig gewordenen Linse zu beseitigen (BGE 105 V 150 Erw. 3a, 103 V 13 Erw. 3a mit Hinweisen; AHI 2000 S. 295 Erw. 2b und S. 299 Erw. 2a).</w:t>
      </w:r>
    </w:p>
    <w:p>
      <w:r>
        <w:t>Â Â Â Â Â Â Â Â  Der angefochtene Entscheid ist somit rechtens.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Winterthur-ARAG Rechtsschutz</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