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IV.2003.00096 vom 29. August 2003</w:t>
      </w:r>
    </w:p>
    <w:p>
      <w:r>
        <w:t>ZH Sozialversicherungsgericht, 2003-08-29, DE</w:t>
      </w:r>
    </w:p>
    <w:p>
      <w:r>
        <w:rPr>
          <w:b/>
        </w:rPr>
        <w:t xml:space="preserve">Quelle: </w:t>
      </w:r>
      <w:r>
        <w:t>https://mcp.opencaselaw.ch/entscheid/zh_sozialversicherungsgericht_IV.2003.00096</w:t>
      </w:r>
    </w:p>
    <w:p>
      <w:r>
        <w:t>FR: ZH_SOZIALVERSICHERUNGSGERICHT IV.2003.00096 du 29 août 2003</w:t>
      </w:r>
    </w:p>
    <w:p>
      <w:r>
        <w:t>IT: ZH_SOZIALVERSICHERUNGSGERICHT IV.2003.00096 del 29 agosto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Es steht fest, dass beim BeschwerdefÃ¼hrer medizinische Massnahmen (zur Behandlung des Geburtsgebrechens gemÃ¤ss Ziff. 459 GgV-Anhang) zu Hause durchgefÃ¼hrt werden.</w:t>
      </w:r>
    </w:p>
    <w:p>
      <w:r>
        <w:rPr>
          <w:b/>
        </w:rPr>
        <w:t>E. 2.2.1</w:t>
      </w:r>
    </w:p>
    <w:p>
      <w:r>
        <w:t>Hinsichtlich des invaliditÃ¤tsbedingt zu leistenden Betreuungsaufwandes in Hauspflege lÃ¤sst sich dem Bericht der Medizinischen Poliklinik des Kinderspitals ZÃ¼rich vom 13./15. November 2002 (Urk. 7/12) entnehmen, dass den Eltern des BeschwerdefÃ¼hrers folgende Aufgaben anfallen:</w:t>
      </w:r>
    </w:p>
    <w:p>
      <w:r>
        <w:t>-Â Â Â  dreimal tÃ¤glich je eine halbe Stunde Physiotherapie</w:t>
      </w:r>
    </w:p>
    <w:p>
      <w:r>
        <w:t>-Â Â Â  hyperkalorische NÃ¤hrung</w:t>
      </w:r>
    </w:p>
    <w:p>
      <w:r>
        <w:t>-Â Â Â  regelmÃ¤ssige, tÃ¤gliche Kontrolle des Stuhlganges bezÃ¼glich QuantitÃ¤t und QualitÃ¤t</w:t>
      </w:r>
    </w:p>
    <w:p>
      <w:r>
        <w:t>-Â Â Â  regelmÃ¤ssiger Austausch fachlicher und sozialer Art in den Elterngruppen sowie Betreuung anderer Familien mit Kindern, bei denen die zystische Fibrose neu diagnostiziert wurde</w:t>
      </w:r>
    </w:p>
    <w:p>
      <w:r>
        <w:t>-Â Â Â  tÃ¤gliche Verabreichung von Medikamenten wÃ¤hrend den Mahlzeiten sowie Abgabe von Vitamintabletten und Antibiotika</w:t>
      </w:r>
    </w:p>
    <w:p>
      <w:r>
        <w:t>-Â Â  bei ErkÃ¤ltungen regelmÃ¤ssige Nasenpflege mit SalzspÃ¼lungen</w:t>
      </w:r>
    </w:p>
    <w:p>
      <w:r>
        <w:t>-Â Â Â  dreimal tÃ¤glich Inhalationen und anschliessend Reinigung des Apparates bei einem Mehraufwand von zirka einer Stunde</w:t>
      </w:r>
    </w:p>
    <w:p>
      <w:r>
        <w:rPr>
          <w:b/>
        </w:rPr>
        <w:t>E. 2.2.2</w:t>
      </w:r>
    </w:p>
    <w:p>
      <w:r>
        <w:t>DarÃ¼ber hinaus machen die Eltern des BeschwerdefÃ¼hrers in ihrer Beschwerdeschrift vom 19. MÃ¤rz 2003 einen Zeitaufwand pro Hauptmahlzeit von zirka einer Stunde zur UnterstÃ¼tzung und Motivation des Kindes beim Essen geltend. Da ausserdem das Kind krankheitsbedingt stÃ¤rker schwitze, sei das Wechseln der Kleidung mehrmals tÃ¤glich nÃ¶tig, was einen hÃ¶heren Waschaufwand verursache. Sodann benÃ¶tige die wÃ¶chentliche/zweiwÃ¶chentliche im Kinderspital durchzufÃ¼hrende Physiotherapie einen Zeitaufwand inklusive Fahrzeit von mindestens drei Stunden. Des Weiteren verursache auch die Besorgung von Medikamenten und Inhalationsersatzteilen sowie die AufklÃ¤rung weiterer das Kind betreuender Personen einen zeitlichen Mehraufwand (Urk. 1 S. 2). Schliesslich erfordere die insbesondere in der kalten Jahreszeit nÃ¶tige Pflege bei regelmÃ¤ssig auftauchenden Infekten einen erhÃ¶hten zeitlichen Aufwand (Urk. 7/4).</w:t>
      </w:r>
    </w:p>
    <w:p>
      <w:r>
        <w:t>2.3Â Â Â Â  Die Beschwerdegegnerin stellte sich auf den Standpunkt, ein gewisser zeitlicher Mehraufwand sei bereits mit dem zu einem frÃ¼heren Zeitpunkt zugesprochenen Pflegebeitrag im Sonderfall (vgl. VerfÃ¼gung vom 15. November 2000; Urk. 7/6) abgegolten (Urk. 2, 6 und 7/5; vgl. auch Urk. 7/3). Dem kann nicht gefolgt werden, weil damit verkannt wÃ¼rde, dass es sich systematisch um zwei unabhÃ¤ngige Anspruchsarten handelt, nÃ¤mlich um medizinische Massnahmen im Sinne von Art. 14 IVG einerseits und um Eingliederungsleistungen (Art. 20 IVG) andererseits (vgl. Meyer-Blaser, Rechtsprechung zum IVG, S. 151).</w:t>
      </w:r>
    </w:p>
    <w:p>
      <w:r>
        <w:t>Bei der Hauspflege ist der erforderliche zeitliche Aufwand das entscheidende Bemessungskriterium, wie dies in Art. 4 Abs. 4 IVV festgehalten ist. Beim Pflegebeitrag infolge Hilflosigkeit ist der zeitliche Mehraufwand hingegen lediglich ein zusÃ¤tzliches Indiz, das zur Beurteilung der Frage herangezogen wird, ob in einer bestimmten Lebensverrichtung Dritthilfe erforderlich ist; bemessen wird der Grad der Hilflosigkeit schliesslich nach Massgabe von Art. 36 IVV, der unter anderem auf die Notwendigkeit von Dritthilfe bei einzelnen Lebensverrichtungen abstellt.</w:t>
      </w:r>
    </w:p>
    <w:p>
      <w:r>
        <w:t>2.4Â Â Â Â  Den oben angefÃ¼hrten Akten lÃ¤sst sich entnehmen, dass den Eltern des BeschwerdefÃ¼hrer ein gewisser invaliditÃ¤tsbedingt zu leistender Betreuungsaufwand in Hauspflege wÃ¤hrend einer Dauer von offensichtlich Ã¼ber drei Monaten anfÃ¤llt. Dabei sind die sich aus der DurchfÃ¼hrung der medizinischen Massnahmen in Hauspflege ergebenden Aufwendungen teils der Behandlungs-, teils der Grundpflege zuzurechnen. Eine Ausscheidung dieser beiden Pflegebereiche ist aber gemÃ¤ss der oben zitierten Rechtsprechung entbehrlich.</w:t>
      </w:r>
    </w:p>
    <w:p>
      <w:r>
        <w:t>In welchem Ausmass der invaliditÃ¤tsbedingte Betreuungsaufwand die Ã¼bliche Pflege eines Kleinkindes Ã¼bersteigt, lÃ¤sst sich indessen nicht mit der erforderlichen Bestimmtheit feststellen. Dazu fehlen nÃ¤mlich genauere Angaben Ã¼ber die sich aus den medizinischen Diagnosen ergebenden BeeintrÃ¤chtigungen und Behinderungen des BeschwerdefÃ¼hrers. Ausserdem wÃ¤ren genauere Angaben der die Pflege leistenden Personen Ã¼ber den ihnen tatsÃ¤chlich anfallenden Aufwand in den einzelnen Massnahmen der Grund- und Behandlungspflege nÃ¶tig. DarÃ¼ber hinaus wÃ¤ren allenfalls die Ã¶rtlichen und rÃ¤umlichen VerhÃ¤ltnisse zu berÃ¼cksichtigen.</w:t>
      </w:r>
    </w:p>
    <w:p>
      <w:r>
        <w:t>Die geeignete Vorkehr fÃ¼r die Erhebung all dieser Informationen und somit fÃ¼r die Ermittlung des Betreuungsaufwandes ist die in Art. 69 Abs. 2 IVV vorgesehene AbklÃ¤rung an Ort und Stelle (BGE 128 V 93). Eine solche hat die Beschwerdegegnerin im vorliegenden Fall nicht durchfÃ¼hren lassen (vgl. Urk. 1 S. 2). Die Beschwerde ist daher insoweit gutzuheissen, als die Sache an die Beschwerdegegnerin zurÃ¼ckzuweisen ist, damit sie nach erfolgter AbklÃ¤rung des Betreuungsaufwandes Ã¼ber den Anspruch auf HauspflegebeitrÃ¤ge neu entscheide.</w:t>
      </w:r>
    </w:p>
    <w:p>
      <w:r>
        <w:t>3.Â Â Â Â Â Â  Dem BeschwerdefÃ¼hrer ist keine ProzessentschÃ¤digung zuzusprechen, da sein Arbeitsaufwand - beziehungsweise dasjenige der ihn vertretenden Eltern- Â und seine Umtriebe im vorliegenden Verfahren nicht den Rahmen dessen Ã¼berschritten, was der Einzelne zumutbarerweise nebenbei zur Besorgung seiner persÃ¶nlichen Angelegenheiten auf sich zu nehmen hat.</w:t>
      </w:r>
    </w:p>
    <w:p>
      <w:r>
        <w:t>Das Gericht erkennt:</w:t>
      </w:r>
    </w:p>
    <w:p>
      <w:r>
        <w:t>1.Â Â Â Â Â Â Â Â  Die Beschwerde wird in dem Sinne gutgeheissen, dass der angefochtene Einspracheentscheid vom 19. MÃ¤rz 2003 aufgehoben und die Sache an die Sozialversicherungsanstalt des Kantons ZÃ¼rich, IV-Stelle, zurÃ¼ckgewiesen wird, damit diese nach erfolgter AbklÃ¤rung im Sinne der ErwÃ¤gungen Ã¼ber den Anspruch des BeschwerdefÃ¼hrers auf HauspflegebeitrÃ¤ge neu entscheide.</w:t>
      </w:r>
    </w:p>
    <w:p>
      <w:r>
        <w:t>2.Â Â Â Â Â Â Â Â  Das Verfahren ist kostenlos.</w:t>
      </w:r>
    </w:p>
    <w:p>
      <w:r>
        <w:t>3.Â Â Â Â Â Â Â Â  Es wird keine ProzessentschÃ¤digung zugesprochen.</w:t>
      </w:r>
    </w:p>
    <w:p>
      <w:r>
        <w:rPr>
          <w:b/>
        </w:rPr>
        <w:t>E. 4</w:t>
      </w:r>
    </w:p>
    <w:p>
      <w:r>
        <w:t>Zustellung gegen Empfangsschein an:</w:t>
      </w:r>
    </w:p>
    <w:p>
      <w:r>
        <w:t>- U.___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