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IV.2002.00747 vom 18. November 2003</w:t>
      </w:r>
    </w:p>
    <w:p>
      <w:r>
        <w:t>ZH Sozialversicherungsgericht, 2003-11-18, DE</w:t>
      </w:r>
    </w:p>
    <w:p>
      <w:r>
        <w:rPr>
          <w:b/>
        </w:rPr>
        <w:t xml:space="preserve">Quelle: </w:t>
      </w:r>
      <w:r>
        <w:t>https://mcp.opencaselaw.ch/entscheid/zh_sozialversicherungsgericht_IV.2002.00747</w:t>
      </w:r>
    </w:p>
    <w:p>
      <w:r>
        <w:t>FR: ZH_SOZIALVERSICHERUNGSGERICHT IV.2002.00747 du 18 novembre 2003</w:t>
      </w:r>
    </w:p>
    <w:p>
      <w:r>
        <w:t>IT: ZH_SOZIALVERSICHERUNGSGERICHT IV.2002.00747 del 18 novembre 2003</w:t>
      </w:r>
    </w:p>
    <w:p>
      <w:pPr>
        <w:pStyle w:val="Heading2"/>
      </w:pPr>
      <w:r>
        <w:t>Erwägungen</w:t>
      </w:r>
    </w:p>
    <w:p>
      <w:r>
        <w:rPr>
          <w:b/>
        </w:rPr>
        <w:t>E. 1</w:t>
      </w:r>
    </w:p>
    <w:p>
      <w:r>
        <w:t>1.1Â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1.2Â Â Â Â  Wie die Rechtsprechung wiederholt betont hat, stimmt der InvaliditÃ¤tsbegriff in der Invalidenversicherung mit demjenigen in der obligatorischen Unfallversicherung (und in der MilitÃ¤rversicherung) grundsÃ¤tzlich Ã¼berein, weshalb die SchÃ¤tzung der InvaliditÃ¤t, auch wenn sie fÃ¼r jeden Versicherungszweig grundsÃ¤tzlich selbstÃ¤ndig vorzunehmen ist, mit Bezug auf den gleichen Gesundheitsschaden im Regelfall zum selben Ergebnis zu fÃ¼hren hat (BGE 126 V 291 Erw. 2a mit Hinweisen). Die Rechtsprechung hÃ¤lt hinsichtlich der InvaliditÃ¤tsbemessung an der koordinierenden Funktion des einheitlichen InvaliditÃ¤tsbegriffes in den verschiedenen Sozialversicherungszweigen fest (BGE 127 V 135 Erw. 4d). Nach der Rechtsprechung sind Abweichungen zwar nicht zum vornherein ausgeschlossen (BGE 119 V 471 Erw. 2b mit Hinweisen). Nicht als massgeblich zu betrachten ist die InvaliditÃ¤tsschÃ¤tzung des einen SozialversicherungstrÃ¤gers etwa dann, wenn ihr ein Rechtsfehler oder eine nicht vertretbare ErmessensausÃ¼bung zu Grunde liegt. Ohne Auswirkungen hat auch der von einem Unfallversicherer angenommene InvaliditÃ¤tsgrad zu bleiben, wenn dieser bloss auf einem Vergleich beruht (BGE 112 V 175 f. Erw. 2a; AHI 2003 S. 108 Erw. 2a; ZAK 1987 S. 371).</w:t>
      </w:r>
    </w:p>
    <w:p>
      <w:r>
        <w:t>In BGE 126 V 288 ff. hat das EidgenÃ¶ssische Versicherungsgericht sodann ausgefÃ¼hrt, an der hinsichtlich der InvaliditÃ¤tsbemessung koordinierenden Funktion des einheitlichen InvaliditÃ¤tsbegriffes in den verschiedenen Sozialversicherungszweigen sei festzuhalten. Die Einheitlichkeit des InvaliditÃ¤tsbegriffes entbinde die verschiedenen SozialversicherungstrÃ¤ger zwar nicht davon, die InvaliditÃ¤tsbemessung in jedem einzelnen Fall selbstÃ¤ndig durchzufÃ¼hren. Keinesfalls dÃ¼rften sie sich ohne weitere eigene PrÃ¼fung mit der blossen Ãbernahme des von einem anderen Versicherer festgestellten InvaliditÃ¤tsgrades begnÃ¼gen. Eine derart weitgehende Bindungswirkung wÃ¤re nicht zu rechtfertigen. Es gehe indessen auch nicht an, dass die InvaliditÃ¤t in den einzelnen Sozialversicherungszweigen vÃ¶llig unabhÃ¤ngig von allenfalls schon getroffenen Entscheiden anderer Versicherer festgelegt werde. Zumindest rechtskrÃ¤ftig abgeschlossene InvaliditÃ¤tsschÃ¤tzungen dÃ¼rften nicht einfach unbeachtet bleiben. Vielmehr mÃ¼ssten sie als Indiz fÃ¼r eine zuverlÃ¤ssige Beurteilung gewertet und als solches in den Entscheidungsprozess erst spÃ¤ter verfÃ¼gender VersicherungstrÃ¤ger mit einbezogen werden. Anlass fÃ¼r ein Abweichen von einer bereits rechtskrÃ¤ftigen InvaliditÃ¤tsschÃ¤tzung eines anderen Versicherers kÃ¶nnten hingegen, nebst den von der bisherigen Rechtsprechung anerkannten GrÃ¼nden, Ã¤usserst knappe und ungenaue AbklÃ¤rungen sowie kaum Ã¼berzeugende oder nicht sachgerechte Schlussfolgerungen bieten (BGE 126 V 293 Erw. 2d; AHI 2001 S. 86 f. Erw. 2d; SVR 2001, IV Nr. 22 S. 68 f. Erw. 2d; vgl. auch ZBJV Band 136, 2000 S. 678 ff.).</w:t>
      </w:r>
    </w:p>
    <w:p>
      <w:r>
        <w:t>1.3Â Â Â Â  FÃ¼r die richterliche Beurteilung eines Falles sind grundsÃ¤tzlich die tatsÃ¤chlichen VerhÃ¤ltnisse zur Zeit des Erlasses der angefochtenen VerwaltungsverfÃ¼gung massgebend (BGE 121 V 366 Erw. 1b mit Hinweisen). Tatsachen, die sich erst spÃ¤ter verwirklichen, sind jedoch insoweit zu berÃ¼cksichtigen, als sie mit dem Streitgegenstand in engem Sachzusammenhang stehen und geeignet sind, die Beurteilung im Zeitpunkt des VerfÃ¼gungserlasses zu beeinflussen (BGE 99 V 102 mit Hinweisen).</w:t>
      </w:r>
    </w:p>
    <w:p>
      <w:r>
        <w:t>2.Â Â Â Â Â Â  Strittig ist, ob dem BeschwerdefÃ¼hrer eine Rente der Invalidenversicherung zusteht. Der mit der Anmeldung gestellte Antrag auf Umschulung (Urk. 7/17 Ziff. 7.8) wurde beschwerdeweise nicht mehr gestellt, so dass die anspruchsverneinende angefochtene VerfÃ¼gung (Urk. 2) diesbezÃ¼glich in Teilrechtskraft erwachsen ist.</w:t>
      </w:r>
    </w:p>
    <w:p>
      <w:r>
        <w:rPr>
          <w:b/>
        </w:rPr>
        <w:t>E. 3</w:t>
      </w:r>
    </w:p>
    <w:p>
      <w:r>
        <w:t>3.1Â Â Â Â  Der BeschwerdefÃ¼hrer stÃ¼rzte am 21. Januar 2001 beim Skifahren auf den RÃ¼cken und zog sich eine Sakrumkontusion zu (Urk. 7/9/2 S. 1 Mitte). Ferner wurde in einem MRI-Befund vom 14. MÃ¤rz 2001 eine rechtsseitige Diskushernie L4/5 mit Wurzelkompression und eine degenerative Protrusion/Diskushernie L5/S1 ohne Wurzelkompression festgestellt (Urk. 7/9/2 S. 1 Mitte in Verbindung mit S. 4 oben).</w:t>
      </w:r>
    </w:p>
    <w:p>
      <w:r>
        <w:t>3.2Â Â Â Â  Vom 23. Januar bis 6. MÃ¤rz 2002 weilte der BeschwerdefÃ¼hrer in der Rehaklinik Bellikon. In deren Austrittsbericht vom 12. MÃ¤rz 2002 (Urk. 7/9/2) wurde ausgefÃ¼hrt, Gehen sei mit Pausen fÃ¼r zirka 1 Stunde mÃ¶glich, Sitzen sei fÃ¼r zirka 30 Minuten zumutbar; Hebe- und Tragleistungen seien repetitiv auf 5 kg, vereinzelt auf 10 kg limitiert; Arbeiten in Zwangsstellungen oder in lÃ¤ngerer vorgeneigter Haltung seien nicht zumutbar. Auf Grund der somatischen Befunde sei eine ganztÃ¤gige, wechselbelastende leichte TÃ¤tigkeit zumutbar; bezÃ¼glich der psychiatrischen Diagnose mÃ¼sse keine ArbeitseinschrÃ¤nkung gemacht werden (Urk. 7/9/2 S. 4 unten).</w:t>
      </w:r>
    </w:p>
    <w:p>
      <w:r>
        <w:t>3.3Â Â Â Â  Dr. med. B.___, FMH Innere Medizin, speziell Rheumatologie, der den BeschwerdefÃ¼hrer seit 21. Januar 2001 behandelte (Urk. 7/8 Ziff. D.1), nannte in seinem Bericht vom 13. Mai 2002 (Urk. 7/8 = Urk. 7/9/3-4) als Diagnose mit Auswirkung auf die ArbeitsfÃ¤higkeit ein traumatisch bedingtes chronifiziertes lumboradikulÃ¤res Reizsyndrom L5 rechts, und als Diagnosen ohne Auswirkung auf die ArbeitsfÃ¤higkeit einen Status nach traumatischer Periarthropathia humero-scapularis links im Januar 1998 sowie einen traumatischen Nagelausriss Dig. II links im MÃ¤rz 2001 (Urk. 7/8 lit. A). Er attestierte eine ArbeitsunfÃ¤higkeit von 100 % seit dem Unfall vom 21. MÃ¤rz 2001 und erklÃ¤rte im Beiblatt zum Arztbericht, es sei keine TÃ¤tigkeit mehr zumutbar (Urk. 7/8 lit. B und E).</w:t>
      </w:r>
    </w:p>
    <w:p>
      <w:r>
        <w:t>3.4Â Â Â Â  Mit VerfÃ¼gung vom 31. Juli 2002 sprach die SUVA dem BeschwerdefÃ¼hrer unter anderem mit Wirkung ab 1. September 2002 eine Rente entsprechend einer ErwerbsunfÃ¤higkeit von 27 % zu (Urk. 7/19).</w:t>
      </w:r>
    </w:p>
    <w:p>
      <w:r>
        <w:t>3.5Â Â Â Â  Mit Bericht vom 12. September 2002 ermittelte die Berufsberatung der Beschwerdegegnerin, gestÃ¼tzt auf drei TÃ¤tigkeiten aus der Dokumentation Ã¼ber ArbeitsplÃ¤tze (DAP) und bezogen auf ein Pensum von 100 %, ein hypothetisches Invalideneinkommen von Fr. 48'185.-- (Urk. 7/11). Davon ging die Beschwerdegegnerin in der angefochtenen VerfÃ¼gung aus und ermittelte bei einem Valideneinkommen von Fr. 66'495.-- einen InvaliditÃ¤tsgrad von 27 % (Urk. 2 S. 2 Mitte).</w:t>
      </w:r>
    </w:p>
    <w:p>
      <w:r>
        <w:t>In der Beschwerdeantwort vom 11. Februar 2003 (Urk. 6) fÃ¼hrte die Beschwerdegegnerin aus, trotz der grundsÃ¤tzlichen Bindungspflicht an den von der SUVA ermittelten InvaliditÃ¤tsgrad beim Vorliegen reiner Unfallfolgen habe sie die dem BeschwerdefÃ¼hrer zumutbaren behinderungsangepassten VerweisungstÃ¤tigkeiten evaluiert (Urk. 6 S. 1). Da der BeschwerdefÃ¼hrer die VerweisungstÃ¤tigkeiten ganztags ausÃ¼ben kÃ¶nne, bleibe kein Raum fÃ¼r die beschwerdeweise geltend gemachten (vgl. Urk. 1 S. 6 f. Ziff. 6) AbzÃ¼ge; ferner sei das Valideneinkommen grosszÃ¼gig bemessen (Urk. 6 S. 2).</w:t>
      </w:r>
    </w:p>
    <w:p>
      <w:r>
        <w:t>3.6Â Â Â Â  SUVA-Arzt Dr. A.___ stÃ¼tzte seine Beurteilung vom 17. MÃ¤rz 2003 (Urk. 13) auf vorhandene Akten und RÃ¶ntgenbilder (Urk. 13 S. 1 ff.) und seine eigene Untersuchung vom 12. MÃ¤rz 2003 (Urk. 13 S. 3 ff.). Er diagnostizierte ein lumboradikulÃ¤res Reiz- und sensibles Ausfallsyndrom L5 rechts, eine Snapping Scapula links mehr als rechts und einen geÃ¤usserten Verdacht auf eine reaktive depressive StÃ¶rung (Urk. 13 S. 5 Mitte).</w:t>
      </w:r>
    </w:p>
    <w:p>
      <w:r>
        <w:t>Â Â Â Â Â Â Â Â  Dr. A.___ fÃ¼hrte aus, im Vergleich zur Untersuchung vom 7. Mai 2002 kÃ¶nnten stÃ¤rkere radikulÃ¤re Reizzeichen nachgewiesen werden (Urk. 13 S. 7 unten). Er zitierte sodann die Zumutbarkeitsumschreibung gemÃ¤ss Austrittsbericht der Rehaklinik Bellikon (vorstehend Erw. 3.2) und erwÃ¤hnte die Beurteilung durch Dr. B.___ (Urk. 13 S. 8 Mitte). Daran anschliessend fÃ¼hrte er aus, die bei der heutigen Untersuchung objektivierbaren Befunde seien Âin der Tat vereinbar mit der DurchfÃ¼hrung einer leichten TÃ¤tigkeit mit der MÃ¶glichkeit von regelmÃ¤ssigen Stellungswechseln. Der Patient sollte aber nicht nur zwischen Stehen und Sitzen wÃ¤hlen kÃ¶nnen, er soll sich auch in regelmÃ¤ssigen AbstÃ¤nden bewegen bzw. herumgehen kÃ¶nnen: im Durchschnitt pro Stunde 20 Minuten stehen, 20 Minuten sitzen und 20 Minuten sich bewegenÂ (Urk. 13 S. 8 unten).</w:t>
      </w:r>
    </w:p>
    <w:p>
      <w:r>
        <w:t>Â Â Â Â Â Â Â Â  Es kÃ¶nnte medizinisch ein natÃ¼rlicher Kausalzusammenhang zwischen dem Unfallereignis vom 21. Januar 2001 und dem Verdacht einer leichten reaktiven depressiven StÃ¶rung anerkannt werden; ob dieser auch adÃ¤quat sei, wÃ¤re eine juristische Frage (Urk. 13 S. 9 oben). Schliesslich erklÃ¤rte Dr. A.___ sinngemÃ¤ss, die diagnostizierte Snapping Scapula sei keine Unfallfolge (Urk. 13 S. 10 Mitte).</w:t>
      </w:r>
    </w:p>
    <w:p>
      <w:r>
        <w:t>3.7Â Â Â Â  Mit VerfÃ¼gung vom 24. Juli 2003 hob die SUVA ihre VerfÃ¼gung vom 31. Juli 2002 auf und sprach dem BeschwerdefÃ¼hrer unter anderem mit Wirkung ab 1. September 2002 eine Invalidenrente entsprechend einer ErwerbsunfÃ¤higkeit von 58 % zu (Urk. 18).</w:t>
      </w:r>
    </w:p>
    <w:p>
      <w:r>
        <w:rPr>
          <w:b/>
        </w:rPr>
        <w:t>E. 4</w:t>
      </w:r>
    </w:p>
    <w:p>
      <w:r>
        <w:t>4.1Â Â Â Â  Der fachÃ¤rztliche Bericht von Dr. A.___ vom 17. MÃ¤rz 2003 (Urk. 13) erscheint als geeignet, die Beurteilung der Streitsache im VerfÃ¼gungszeitpunkt (Dezember 2002) zu beeinflussen, weshalb er im vorliegenden Verfahren zu berÃ¼cksichtigen ist (vgl. vorstehend Erw. 1.3).</w:t>
      </w:r>
    </w:p>
    <w:p>
      <w:r>
        <w:rPr>
          <w:b/>
        </w:rPr>
        <w:t>E. 4.2</w:t>
      </w:r>
    </w:p>
    <w:p>
      <w:r>
        <w:t>GestÃ¼tzt auf den Bericht von Dr. A.___ ist davon auszugehen, dass mit der Snapping Scapula zusÃ¤tzlich ein Leiden diagnostiziert wurde, welches unfallfremd ist. Die Annahme der Beschwerdegegnerin, es lÃ¤gen reine Unfallfolgen vor, dÃ¼rfte somit nicht mehr zutreffen. Allerdings lÃ¤sst sich anhand der Akten nicht zuverlÃ¤ssig feststellen, ob das erwÃ¤hnte zusÃ¤tzliche Leiden einen - im Rahmen der Unfallversicherung unbeachtlichen - Einfluss auf die verbleibende ArbeitsfÃ¤higkeit des BeschwerdefÃ¼hrers hat.</w:t>
      </w:r>
    </w:p>
    <w:p>
      <w:r>
        <w:t>4.3Â Â Â Â  Ferner ist gestÃ¼tzt auf den Bericht von Dr. A.___ nicht auszuschliessen, dass eine EinschrÃ¤nkung aus psychischen GrÃ¼nden besteht. Nebst dem Umstand, dass Dr. A.___ nicht Psychiater ist, muss allerdings auch hier angemerkt werden, dass keine neueren Angaben Ã¼ber mÃ¶gliche Auswirkungen einer solchen allfÃ¤lligen EinschrÃ¤nkung auf die verbleibende ArbeitsfÃ¤higkeit des BeschwerdefÃ¼hrers vorliegen.</w:t>
      </w:r>
    </w:p>
    <w:p>
      <w:r>
        <w:rPr>
          <w:b/>
        </w:rPr>
        <w:t>E. 4.4</w:t>
      </w:r>
    </w:p>
    <w:p>
      <w:r>
        <w:t>Andererseits ist die VerfÃ¼gung der SUVA, in welcher sie einen InvaliditÃ¤tsgrad von 58 % angenommen hat (Urk. 18), nicht nÃ¤her begrÃ¼ndet. Es lÃ¤sst sich deshalb nicht nachvollziehen, wie gestÃ¼tzt auf das von Dr. A.___ formulierte Zumutbarkeitsprofil der erwÃ¤hnte InvaliditÃ¤tsgrad ermittelt wurde und ob allenfalls einer der praxisgemÃ¤ssen AusnahmefÃ¤lle vorliegt, in denen der InvaliditÃ¤tsgrad fÃ¼r einen anderen VersicherungstrÃ¤ger unbeachtlich bleibt (vgl. vorstehend Erw. 1.2).</w:t>
      </w:r>
    </w:p>
    <w:p>
      <w:r>
        <w:rPr>
          <w:b/>
        </w:rPr>
        <w:t>E. 5.1</w:t>
      </w:r>
    </w:p>
    <w:p>
      <w:r>
        <w:t>Angesichts der offenen Fragen und des entsprechenden KlÃ¤rungsbedarfs erscheint es sachgerecht, die Beschwerde in dem Sinne gutzuheissen, dass die angefochtene VerfÃ¼gung aufgehoben und die Sache an die Beschwerdegegnerin zurÃ¼ckgewiesen wird, damit diese nach Vornahme der erforderlichen AbklÃ¤rungen neu verfÃ¼ge.</w:t>
      </w:r>
    </w:p>
    <w:p>
      <w:r>
        <w:t>Â Â Â Â Â Â Â Â  In einem ersten Schritt wird sie abklÃ¤ren, wie es sich mit der von der SUVA vorgenommenen InvaliditÃ¤tsbemessung verhÃ¤lt (vorstehend Erw. 4.4), um sodann gegebenenfalls noch einmal selber abklÃ¤ren zu lassen, welchen gesundheitlichen EinschrÃ¤nkungen bei der Bestimmung des Invalideneinkommens Rechnung zu tragen ist.</w:t>
      </w:r>
    </w:p>
    <w:p>
      <w:r>
        <w:rPr>
          <w:b/>
        </w:rPr>
        <w:t>E. 5.2</w:t>
      </w:r>
    </w:p>
    <w:p>
      <w:r>
        <w:t>Hinsichtlich allfÃ¤lliger AbzÃ¼ge von statistisch erhobenen LÃ¶hnen ist auf den zur Publikation vorgesehene Entscheid des EidgenÃ¶ssischen Versicherungsgerichts in Sachen C. vom 28. August 2003 (U 35/00), ErwÃ¤gung 4.2, zu verweisen.</w:t>
      </w:r>
    </w:p>
    <w:p>
      <w:r>
        <w:rPr>
          <w:b/>
        </w:rPr>
        <w:t>E. 6</w:t>
      </w:r>
    </w:p>
    <w:p>
      <w:r>
        <w:t>PraxisgemÃ¤ss gilt die RÃ¼ckweisung an die Vorinstanz als Obsiegen, so dass dem anwaltlich vertretenen BeschwerdefÃ¼hrer eine ProzessentschÃ¤digung zusteht, die beim Stundenansatz von Fr. 200.- (zuzÃ¼glich Mehrwertsteuer) auf Fr. 2'400.--(inklusive Barauslagen und Mehrwertsteuer) zu bemessen ist.</w:t>
      </w:r>
    </w:p>
    <w:p>
      <w:r>
        <w:t>Das Gericht erkennt:</w:t>
      </w:r>
    </w:p>
    <w:p>
      <w:r>
        <w:t>1.Â Â Â Â Â Â Â Â  Die Beschwerde wird in dem Sinne gutgeheissen, dass die angefochtene VerfÃ¼gung vom 5. Dezember 2002 insoweit aufgehoben wird, als der Anspruch auf eine Rente verneint wurde, und die Sache an die Beschwerdegegnerin zurÃ¼ckgewiesen wird, damit diese nach Vornahme der erforderlichen AbklÃ¤rungen neu Ã¼ber den Anspruch des BeschwerdefÃ¼hrers auf eine Rente verfÃ¼ge.</w:t>
      </w:r>
    </w:p>
    <w:p>
      <w:r>
        <w:t>2.Â Â Â Â Â Â Â Â  Das Verfahren ist kostenlos.</w:t>
      </w:r>
    </w:p>
    <w:p>
      <w:r>
        <w:t>3.Â Â Â Â Â Â Â Â  Die Beschwerdegegnerin wird verpflichtet, dem BeschwerdefÃ¼hrer eine ProzessentschÃ¤digung von Fr. 2'400.--(inklusive Barauslagen und Mehrwertsteuer) zu bezahlen.</w:t>
      </w:r>
    </w:p>
    <w:p>
      <w:r>
        <w:t>4. Zustellung gegen Empfangsschein an:</w:t>
      </w:r>
    </w:p>
    <w:p>
      <w:r>
        <w:t>- Rechtsanwalt Reto Caflisch</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