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IV.2002.00720 vom 24. Februar 2003</w:t>
      </w:r>
    </w:p>
    <w:p>
      <w:r>
        <w:t>ZH Sozialversicherungsgericht, 2003-02-24, DE</w:t>
      </w:r>
    </w:p>
    <w:p>
      <w:r>
        <w:rPr>
          <w:b/>
        </w:rPr>
        <w:t xml:space="preserve">Quelle: </w:t>
      </w:r>
      <w:r>
        <w:t>https://mcp.opencaselaw.ch/entscheid/zh_sozialversicherungsgericht_IV.2002.00720</w:t>
      </w:r>
    </w:p>
    <w:p>
      <w:r>
        <w:t>FR: ZH_SOZIALVERSICHERUNGSGERICHT IV.2002.00720 du 24 février 2003</w:t>
      </w:r>
    </w:p>
    <w:p>
      <w:r>
        <w:t>IT: ZH_SOZIALVERSICHERUNGSGERICHT IV.2002.00720 del 24 febbraio 2003</w:t>
      </w:r>
    </w:p>
    <w:p>
      <w:pPr>
        <w:pStyle w:val="Heading2"/>
      </w:pPr>
      <w:r>
        <w:t>Erwägungen</w:t>
      </w:r>
    </w:p>
    <w:p>
      <w:r>
        <w:rPr>
          <w:b/>
        </w:rPr>
        <w:t>E. 3</w:t>
      </w:r>
    </w:p>
    <w:p>
      <w:r>
        <w:t>3.1???? Mit der angefochtenen Verf?gung vom 26. November 2002 lehnte es die Be?schwerdegegnerin ab, die Kosten der station?ren Psychotherapie von C.___ als medizinische Massnahme zu ?bernehmen. Zur Begr?ndung f?hrte die Beschwerdegegnerin im Wesentlichen an, aufgrund der Dauer und der Schwere der St?rung gehe es bei der in Frage stehenden station?ren Psycho?therapie eher um eine Leidensbehandlung an sich und nicht um eine eigentliche Eingliederungsmassnahme im Sinne der IV (Urk. 7/3 = Urk. 2).</w:t>
      </w:r>
    </w:p>
    <w:p>
      <w:r>
        <w:t>Die Beist?ndin des Versicherten beantragte demgegen?ber sinngem?ss die ?bernahme der Kosten im Rahmen einer medizinischen Eingliederungsmass?nahme. Unter Berufung auf ein Schreiben von Dr. med. A.___, Ober?rz?tin Tagesklinik f?r Kinder, Zentrum f?r Kinder- und Jugendpsychiatrie, Univer?sit?t ___, vom 31. Oktober 2002 (Urk. 3 = Urk. 7/2/1 S. 2) machte sie geltend, die Behandlung von C.___s Enkopresis sei f?r seine schulische Integration absolut notwendig. Es handle sich dabei nicht um eine Dauerbehandlung, da die Prognose dieser Erkrankung nachgewiesermassen gut sei. Die Behandlung werde auch positive Auswirkungen auf die zus?tzlich bestehende St?rung mit Trennungsangst haben, wodurch es C.___ gelingen werde, die Schule zu besu?chen und soziale Kontakte zu kn?pfen (Urk. 1; Urk. 3).</w:t>
      </w:r>
    </w:p>
    <w:p>
      <w:r>
        <w:t>3.2????</w:t>
      </w:r>
    </w:p>
    <w:p>
      <w:r>
        <w:t>3.2.1?? Vorliegend steht die ?bernahme der Behandlungskosten eines psychischen Lei?dens in Frage (vgl. auch das Kreisschreiben des Bundesamtes f?r Sozialversi?cherung ?ber die medizinischen Eingliederungsmassnahmen der Invalidenversi?cherung, KSME, g?ltig ab 1. November 2000, D 2-4, Ziff. 2.5 Rz 641 ff.). Wer?den diese Kosten nicht von der Invalidenversicherung ?bernommen, ist die Krankenkasse grunds?tzlich leistungspflichtig. Diese ist somit von der Verf??gung der Invalidenversicherung ?ber die medizinischen Massnahmen betroffen.</w:t>
      </w:r>
    </w:p>
    <w:p>
      <w:r>
        <w:t>3.2.2?? Gem?ss Art. 88 quater Abs. 1 der Verordnung ?ber die Invalidenversicherung (IVV) sind dem Krankenversicherer die Verf?gungen ?ber die Zusprechung oder Ablehnung der Leistungen zuzustellen, und der Krankenversicherer hat bei gan-zer oder teilweiser Ablehnung der Leistungen durch die Invalidenversicherung das Recht, die entsprechende Verf?gung der IV-Stelle selbst?ndig anzufechten (Art. 88 quater Abs. 2 IVV; vgl. auch Ziff. 6.2 Rz 3032 des Kreisschreibens des Bundesamtes f?r Sozialversicherung ?ber das Verfahren in der Invalidenversi?cherung, KSVI, g?ltig ab 1. Januar 1998). Dieses Recht steht dem Krankenversi?cherer selbstredend auch (oder gerade dann) zu, wenn die Invalidenversicherung zur Ansicht gelangt, es bestehe kein Anspruch auf medizinische Massnahmen (vgl. auch RKUV 1997 S. 195 ff. Nr. U 276). Denn gerade diese Auffassung ist Gegenstand des Beschwerderechts.</w:t>
      </w:r>
    </w:p>
    <w:p>
      <w:r>
        <w:t>Der Grundsatz ist auch in Art. 121 Abs. 1 der Verordnung ?ber die Kranken?versicherung (KVV) und in dem dem Wortlaut von Art. 121 KVV angepassten, mit Wirkung ab 1. Januar 1996 revidierten Art. 129 der Verordnung ?ber die Unfallversicherung (UVV) festgehalten. Danach ist eine von einem Krankenver?sicherer oder einem anderen Sozialversicherer erlassene Verf?gung, welche die Leistungspflicht einer anderen Sozialversicherung tangiert, auch dem anderen Sozialversicherer zu er?ffnen. Dieser kann die gleichen Rechtsmittel ergreifen wie die versicherte Person. Die gleiche Regelung ist in Art. 49 Abs. 4 ATSG vor?gesehen.</w:t>
      </w:r>
    </w:p>
    <w:p>
      <w:r>
        <w:t>3.2.3?? Das Eidgen?ssische Versicherungsgericht hat in RKUV 1997 Nr. U 270 S. 143 ff. bez?glich Art. 129 UVV festgehalten, dass Zweck dieser Bestimmung sei, im Rahmen der Koordination der Leistungssysteme der verschiedenen Sozialversi-cherungen sicherzustellen, dass die Rechtskraft von Verf?gungen und Entschei?dungen auf die mitbetroffenen Sozialverscherungstr?ger ausgedehnt wird und so widerspr?chliche materielle Entscheidungen in ein und demselben Versiche?rungsfall vermieden werden. Mit der Bestimmung wird verdeutlicht, dass im Zusammenhang mit koordinationsrechtlich bedeutsamen Verf?gungen stets so?wohl dem mitbetroffenen Sozialversicherer als auch der versicherten Person selbst Geh?rs- und Parteirechte einzur?umen sind, und zwar unbek?mmert darum, welcher der Beteiligten Verf?gungsadressat ist oder ein Rechtsmittel er?greift. Dabei kann das kantonale Versicherungsgericht, welches feststellt, dass eine koordinationsrechtlich relevante Leistungsverf?gung oder ein entsprechen?der Einspracheentscheid dem mitbetroffenen Sozialversicherungstr?ger nicht er?ffnet worden ist, diese Verletzung von Geh?rs- und Parteirechten durch Bei?ladung des mitbetroffenen Sozialversicherungs?tr?gers im gerichtlichen Verfah?ren selber heilen. Eine solche Verpflichtung besteht jedoch nicht. Da die Wah?rung der Geh?rs- und Parteirechte des mitbetroffenen Sozialversicherers viel?mehr in erster Linie der Versicherung obliegt, welche die Verf?gung erlassen hat, und da nach neuem Verfahrensrecht des ATSG Einw?nde von der Kranken?kasse auch im Rahmen einer von der verf?genden Instanz zu behandelnden Einsprache geltend gemacht werden k?nnen (Art. 52 ATSG und nachfolgende Erw. 3.3), erscheint die R?ckweisung der Sache zwecks ordnungsgem?sser Er??ffnung des Verwaltungsentscheides vielmehr als angemessen.</w:t>
      </w:r>
    </w:p>
    <w:p>
      <w:r>
        <w:t>3.3???? Vorliegend ist nicht ersichtlich, dass die Beschwerdegegnerin die Verf?gung vom 26. November 2002 dem Krankenversicherer zugestellt hat. Damit hat sie dessen Parteirechte verletzt. In Ber?cksichtigung der erw?hnten Rechtsprechung ist daher die Beschwerde in dem Sinne gutzuheissen, dass die Verf?gung aufzu?heben und die Sache an die Beschwerdegegnerin zur Neuverf?gung und Er?ff?nung sowohl an den Versicherten als auch an die Krankenversicherung zur?ck?zuweisen ist.</w:t>
      </w:r>
    </w:p>
    <w:p>
      <w:r>
        <w:t>Die Beschwerdegegnerin wird dabei zu beachten haben, dass Verfahrens?be?stimmungen im Allgemeinen sofort, das heisst mit dem Inkrafttreten des ent?sprechenden Gesetzes, in Kraft treten (BGE 117 V 93 Erw. 6b und 112 V 260 Erw. 4a; RKUV 1998 KV Nr. 37 S. 316 Erw. 3b), was bedeutet, dass die Verfah?rensbestimmungen des ATSG grunds?tzlich ab 1. Januar 2003 anwendbar sind. Die Beschwerdegegnerin wird daher die neue Verf?gung in Ber?cksichtigung der neuen Verfahrensbestimmungen (Art. 34 ff. ATSG) und versehen mit der neuen Rechtsmittelbelehrung nach Art. 52 ATSG (Einsprache an die verf?gende Stelle) zu erlassen haben (Art. 49 Abs. 3 ATSG). Gegen die dann er?ffnete Ver?f?gung steht beiden Betroffenen die Einsprache an die Beschwerdegegnerin und, sofern erforderlich, in der Folge der Beschwerdeweg ans Gericht offen.</w:t>
      </w:r>
    </w:p>
    <w:p>
      <w:r>
        <w:t>Das Gericht erkennt:</w:t>
      </w:r>
    </w:p>
    <w:p>
      <w:r>
        <w:t>1.???????? Die Beschwerde wird in dem Sinne gutgeheissen, dass die angefochtene Verf?gung vom 26. November 2002 aufgehoben und die Sache an die Beschwerdegegnerin zur Neuverf?gung und geh?rigen Er?ffnung sowohl an den Beschwerdef?hrer als auch an die Krankenversicherung zur?ckgewiesen wird.</w:t>
      </w:r>
    </w:p>
    <w:p>
      <w:r>
        <w:t>2.???????? Das Verfahren ist kostenlos.</w:t>
      </w:r>
    </w:p>
    <w:p>
      <w:r>
        <w:t>3.???????? Zustellung gegen Empfangsschein an:</w:t>
      </w:r>
    </w:p>
    <w:p>
      <w:r>
        <w:t>- Amtsvormundin K.___, unter Beilage einer Kopie von Urk. 6</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