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IV.2002.00470 vom 16. September 2003</w:t>
      </w:r>
    </w:p>
    <w:p>
      <w:r>
        <w:t>ZH Sozialversicherungsgericht, 2003-09-16, DE</w:t>
      </w:r>
    </w:p>
    <w:p>
      <w:r>
        <w:rPr>
          <w:b/>
        </w:rPr>
        <w:t xml:space="preserve">Quelle: </w:t>
      </w:r>
      <w:r>
        <w:t>https://mcp.opencaselaw.ch/entscheid/zh_sozialversicherungsgericht_IV.2002.00470</w:t>
      </w:r>
    </w:p>
    <w:p>
      <w:r>
        <w:t>FR: ZH_SOZIALVERSICHERUNGSGERICHT IV.2002.00470 du 16 septembre 2003</w:t>
      </w:r>
    </w:p>
    <w:p>
      <w:r>
        <w:t>IT: ZH_SOZIALVERSICHERUNGSGERICHT IV.2002.00470 del 16 settembre 2003</w:t>
      </w:r>
    </w:p>
    <w:p>
      <w:pPr>
        <w:pStyle w:val="Heading2"/>
      </w:pPr>
      <w:r>
        <w:t>Erwägungen</w:t>
      </w:r>
    </w:p>
    <w:p>
      <w:r>
        <w:rPr>
          <w:b/>
        </w:rPr>
        <w:t>E. 2</w:t>
      </w:r>
    </w:p>
    <w:p>
      <w:r>
        <w:t>Es sei dem BeschwerdefÃ¼hrer eine ordentliche Zusatzrente fÃ¼r den Ehegatten vom 1. Oktober 1998 bis 31. Juli 2001 zuzusprechen.</w:t>
      </w:r>
    </w:p>
    <w:p>
      <w:r>
        <w:rPr>
          <w:b/>
        </w:rPr>
        <w:t>E. 3</w:t>
      </w:r>
    </w:p>
    <w:p>
      <w:r>
        <w:t>3.1Â Â Â Â  Der BeschwerdefÃ¼hrer hatte seit seiner Geburt bis am 4. Mai 1983 Wohnsitz in Jugoslawien gehabt (Urk. 9/3 Ziff. 4.7.1). Er reiste am 5. Mai 1983 in die Schweiz ein (Urk. 9/7), verfÃ¼gte seit diesem Datum Ã¼ber eine Jahresaufenthaltsbewilligung und seit 4. Mai 1993 Ã¼ber eine Niederlassungsbewilligung (Urk. 9/3 Ziff. 4.7.3), und war laut Auszug aus dem individuellen Konto seit August 1983 in der Schweiz erwerbstÃ¤tig (Urk. 9/13/4). Am 31. Dezember 1987 ist er von ___ nach ZÃ¼rich umgezogen (Urk. 9/32) und seither dort wohnhaft (Urk. 9/36 RÃ¼ckseite).</w:t>
      </w:r>
    </w:p>
    <w:p>
      <w:r>
        <w:t>3.2Â Â Â Â  1988 wurde der BeschwerdefÃ¼hrer von seiner ersten Ehefrau C.___ geschieden (Urk. 9/3 Ziff. 1.4, Urk. 9/12 Beilage).</w:t>
      </w:r>
    </w:p>
    <w:p>
      <w:r>
        <w:t>Am 4. August 1989 heiratete er D.___ (Urk. 9/12 Beilage). Am 28. Januar 1990 wurde die Tochter A.___ und am 21. Februar 1992 der Sohn B.___ geboren (Urk. 9/3 Ziff. 3.1, Urk. 9/23). Laut Anmeldung vom 20. Januar 1999 war die Ehe seit 10. Juli 1998 getrennt (Urk. 9/3 Ziff. 1.4). Die Ehefrau verfÃ¼gt ebenfalls Ã¼ber eine Niederlassungsbewilligung (Urk. 9/24), dies laut Anmeldung seit 4. Mai 1998 (Urk. 9/3 Ziff. 4.9).</w:t>
      </w:r>
    </w:p>
    <w:p>
      <w:r>
        <w:t>3.3Â Â Â Â  Am 17. Februar 1999 teilte das Gemeindegericht von E___, Republik Serbien, dem Friedensrichteramt Kreis 4 und 5, ZÃ¼rich, mit, der - vorlÃ¤ufig in der Schweiz wohnhafte - BeschwerdefÃ¼hrer habe am 5. Oktober 1998 eine Scheidungsklage eingereicht. Die - ebenfalls vorlÃ¤ufig in der Schweiz wohnhafte - Ehefrau habe in der Schweiz am 2. Oktober 1998 eine Scheidungsklage eingereicht. Die Scheidungsbeklagte sei jugoslawische StaatsbÃ¼rgerin und habe den stÃ¤ndigen Aufenthalt in der Bundesrepublik Jugoslawien, weshalb gemÃ¤ss jugoslawischem Recht der ausschliessliche Gerichtsstand in Jugoslawien sei (Ãbersetzung, Urk. 9/4 = Urk. 9/27).</w:t>
      </w:r>
    </w:p>
    <w:p>
      <w:r>
        <w:t>3.4Â Â Â Â  Mit Urteil des Bezirksgerichts ZÃ¼rich vom 21. Dezember 1999, ausgefertigt am 20. Januar 2000, wurde die Ehe des BeschwerdefÃ¼hrers und seiner Ehefrau D.___ Â geschieden (Urk. 9/46 = Urk. 9/55 Beilage = Urk. 9/56 Beilage = Urk. 3/3). Beide Kinder wurden unter die elterliche Gewalt der Mutter gestellt (Urk. 9/46 S. 2 Ziff. 2). Der BeschwerdefÃ¼hrer wurde zur Bezahlung monatlicher Kinder- UnterhaltsbeitrÃ¤ge von je Fr. 725.-- verpflichtet (Urk. 9/46 S. 2 Ziff. 4). Der Entscheid ist am 7. MÃ¤rz 2000 rechtskrÃ¤ftig geworden (Urk. 9/56 Beilage S. 4).</w:t>
      </w:r>
    </w:p>
    <w:p>
      <w:r>
        <w:t>3.5Â Â Â Â  Laut Urteil des Gemeindegerichts E___, Republik Serbien, vom 26. MÃ¤rz 2001 wurde die am 4. August 1989 in Beska zwischen dem BeschwerdefÃ¼hrer undÂ  D.___ geschlossene Ehe (vgl. Urk. 3/5) - beide aus E___ und ÂvorlÃ¤ufig mit Wohnsitz in der SchweizÂ - geschieden; die Tochter wurde dem Vater, der Sohn der Mutter anvertraut (Ãbersetzung, Urk. 9/28 = Urk. 9/5 = Urk. 3/4). Im Kopf des Dokumentes wurde angegeben ÂrechtskrÃ¤ftig: 10.07.2001; E___, 13.07.2001, Richter, Unterschrift nicht lesbarÂ.</w:t>
      </w:r>
    </w:p>
    <w:p>
      <w:r>
        <w:t>3.6Â Â Â Â  Mit Beschluss des Gemeindegerichts E___, Republik Serbien, vom 31. August 2001 wurde der Beschluss vom 13. Juli 2001, die Rechtskraft vom 10. Juli 2001 des Gerichtsurteils vom 26. MÃ¤rz 2001 betreffend, ausser Kraft gesetzt, wobei alsÂ  BegrÃ¼ndung, soweit verstÃ¤ndlich, ein Zustellungsfehler angegeben wurde (Urk. 9/47).</w:t>
      </w:r>
    </w:p>
    <w:p>
      <w:r>
        <w:t>3.7Â Â Â Â  Der Ãbersetzung des jugoslawischen Scheidungsurteils vom 26. MÃ¤rz 2001 inklusive ErwÃ¤gungen (Urk. 13), vom BeschwerdefÃ¼hrer am 12. Februar 2003 eingereicht (Urk. 12), ist folgendes zu entnehmen. Es wurde unter anderem ausgefÃ¼hrt, die Ehefrau des BeschwerdefÃ¼hrers habe am 2. Oktober 1998 beim zustÃ¤ndigen Gericht in ZÃ¼rich die Scheidung beantragt; der BeschwerdefÃ¼hrer habe am 5. Oktober 1998 beim Gericht in E___ Klage erhoben (Urk. 13 S. 4 oben); die Ehe sei am 24. Januar 2000 vom Bezirksgericht ZÃ¼rich geschieden worden; anlÃ¤sslich der Verhandlung vom 28. Juni 2000 hÃ¤tten die bevollmÃ¤chtigten RechtsanwÃ¤lte der Parteien Âdie Tatsache, dass dieses Urteil rechtskrÃ¤ftig ist, unstrittig gemachtÂ (Urk. 13 S. 4 Mitte). Ferner wurde ein weiteres Urteil vom 27. Juni 2000 erwÃ¤hnt, mit dem der Ehefrau das Recht auf Nutzung der Wohnung mit den Kindern zugesprochen und der BeschwerdefÃ¼hrer verpflichtet worden sei, auszuziehen. Er sei aber nicht ausgezogen, sondern habe weiter mit der Scheidungsbeklagten und den Kindern in der Wohnung gelebt; ab und zu sei er nach Jugoslawien gegangen (Urk. 13 S. 4 unten). Weiter wurde ausgefÃ¼hrt, der BeschwerdefÃ¼hrer erhalte ArbeitslosenentschÃ¤digung und verdiene daneben Fr. 3'500.-- im Monat; allerdings habe er mit dem Arbeitgeber besprochen, einstweilen das ArbeitsverhÃ¤ltnis abzubrechen, um die Unterhaltszahlungen gemÃ¤ss der rechtskrÃ¤ftigen Entscheidung des ZÃ¼rcher Gerichts zu vermeiden (Urk. 13 S. 4 unten). Sodann sprach das Gericht beiden Elternteilen die erforderlichen FÃ¤higkeiten zur Kindererziehung zu und erachtete es als nÃ¼tzlich, dass der 9-jÃ¤hrige Sohn der Mutter und die 11-jÃ¤hrige Tochter dem Vater anvertraut wÃ¼rden, zumal alle Beteiligten weiterhin in der gemeinsamen Wohnung wohnten (Urk. 13 S. 6 oben). Die Scheidungsbeklagte sei jugoslawische StaatsbÃ¼rgerin und habe im Zeitpunkt der Klageerhebung Aufenthalt in der Bundesrepublik Jugoslawien gehabt, womit nach jugoslawischem Recht ausschliesslich jugoslawische Gerichte zustÃ¤ndig seien (Urk. 13 S. 6 Mitte).</w:t>
      </w:r>
    </w:p>
    <w:p>
      <w:r>
        <w:t>3.8Â Â Â Â  Am 27. Mai 2002 teilte die Beschwerdegegnerin der Ehefrau des Beschwerde- fÃ¼hrers mit, dieser habe Anspruch auf eine Invalidenrente und zwei Kinderrenten, und machte sie darauf aufmerksam, dass sie die Direktauszahlung der Kinderrenten,verlangen kÃ¶nne (Urk. 9/48). Die Ehefrau des BeschwerdefÃ¼hrers fÃ¼llte den beifÃ¼gten Fragebogen aus und beantragte die Direktauszahlung fÃ¼r beide Kinderrenten, wobei sie bestÃ¤tigte, dass sie die elterliche Sorge besitze und die Kinder bei ihr wohnten (Urk. 9/48 Beilage).</w:t>
      </w:r>
    </w:p>
    <w:p>
      <w:r>
        <w:t>3.9Â Â Â Â  In seiner Beschwerde vom 11. September 2002 wies der BeschwerdefÃ¼hrer einerseits daraufhin, aus den identischen Zustelladressen der angefochtenen VerfÃ¼gungen (an ihn und an seine geschiedene Frau) sei ersichtlich, dass beide, und ebenso die Kinder, auch nach der Scheidung in der gleichen Wohnung lebten (Urk. 1 S. 3 Ziff. 3). Andererseits fÃ¼hrte er aus, er habe per Ende August 2002 ein eigenes Zimmer an der Adresse bezogen, die er auch im Rubrum der Beschwerde angab (Urk. 1 S. 1 und S. 4 Mitte).Â</w:t>
      </w:r>
    </w:p>
    <w:p>
      <w:r>
        <w:t>Â</w:t>
      </w:r>
    </w:p>
    <w:p>
      <w:r>
        <w:t>4.Â Â Â Â Â Â</w:t>
      </w:r>
    </w:p>
    <w:p>
      <w:r>
        <w:t>4.1 Â Â Â Â Zu prÃ¼fen ist zuerst die Rentenberechnung.</w:t>
      </w:r>
    </w:p>
    <w:p>
      <w:r>
        <w:t>Die Invalidenrenten werden gemÃ¤ss Art. 36 Abs. 2 des Bundesgesetzes Ã¼ber die Invalidenversicherung (IVG) grundsÃ¤tzlich nach den Bestimmungen des Bundesgesetzes Ã¼ber die Alters- und Hinterlassenenversicherung (AHVG) berechnet.</w:t>
      </w:r>
    </w:p>
    <w:p>
      <w:r>
        <w:t>4.2 Â Â Â Â Die ordentlichen Renten der AHV und IV gelangen als Vollrenten oder Teilrenten zur Ausrichtung, wobei Anspruch auf die volle Rente besteht, wenn die Beitragsdauer vollstÃ¤ndig ist (Art. 29 Abs. 2 AHVG). Die Beitragsdauer ist vollstÃ¤ndig, wenn eine Person gleich viele Beitragsjahre aufweist wie ihr Jahrgang (Art. 29 ter Abs. 1 AHVG), wobei gemÃ¤ss Art. 29 ter Abs. 2 AHVG als Beitragsjahre Zeiten gelten, in welchen eine Person BeitrÃ¤ge geleistet hat (lit. a), in welchen der Ehegatte gemÃ¤ss Artikel 3 Absatz 3 AHVG mindestens den doppelten Mindestbeitrag entrichtet hat (lit. b) oder fÃ¼r die Erziehungs- oder Betreuungsgutschriften angerechnet werden kÃ¶nnen (lit. c). Bei unvollstÃ¤ndiger Beitragsdauer besteht Anspruch auf eine Teilrente, entsprechend dem gerundeten VerhÃ¤ltnis zwischen den vollen Beitragsjahren der versicherten Person und denjenigen ihres Jahrganges (Art. 38 Abs. 2 AHVG).</w:t>
      </w:r>
    </w:p>
    <w:p>
      <w:r>
        <w:t>Â Â Â Â Â Â Â Â  Zur AuffÃ¼llung von BeitragslÃ¼cken kÃ¶nnen Beitragszeiten zwischen dem 31. Dezember vor dem Eintritt des Versicherungsfalles und der Entstehung des Rentenanspruchs herangezogen werden, wobei die in diesem Zeitraum erzielten Erwerbseinkommen bei der Rentenberechnung nicht berÃ¼cksichtigt werden (Art. 52c der Verordnung Ã¼ber die Alters- und Hinterlassenenversicherung, AHVV).</w:t>
      </w:r>
    </w:p>
    <w:p>
      <w:r>
        <w:t>4.3 Â Â Â  Innerhalb der anwendbaren Rentenskala bestimmt sich die RentenhÃ¶he nach Massgabe des durchschnittlichen Jahreseinkommens, das sich aus den Erwerbseinkommen, auf denen BeitrÃ¤ge bezahlt wurden, sowie den Erziehungs- oder Betreuungsgutschriften zwischen dem 1. Januar nach Vollendung des 20. Altersjahres und dem 31. Dezember vor Eintritt des Versicherungsfalles zusammensetzt (Art. 29 bis Abs. 1, Art. 29 quater und Art. 29 quinquies Abs. 1 AHVG).</w:t>
      </w:r>
    </w:p>
    <w:p>
      <w:r>
        <w:t>Â Â Â Â Â Â Â Â  Einkommen, welche die Ehegatten wÃ¤hrend der Kalenderjahre der gemeinsamen Ehe erzielt haben, werden geteilt und je zur HÃ¤lfte den beiden Ehegatten angerechnet. Die Einkommensteilung wird u.a. bei AuflÃ¶sung der Ehe durch Scheidung vorgenommen. Dabei unterliegen der Teilung und der gegenseitigen Anrechnung (Splitting) jedoch nur Einkommen aus der Zeit zwischen dem 1. Januar nach Vollendung des 20. Altersjahres und dem 31. Dezember vor Eintritt des Versicherungsfalles beim Ehegatten, welcher zuerst rentenberechtigt wird, sowie aus Zeiten, in denen beide Ehegatten in der schweizerischen AHV versichert gewesen sind (Art. 29 quinquies Abs. 3 und 4 AHVG). Auch wenn die beiden Ehegatten in einem Kalenderjahr nicht wÃ¤hrend der gleichen Monate versichert sind, werden die Einkommen wÃ¤hrend des ganzen Kalenderjahres aufgeteilt. Die Einkommen im Jahr der Eheschliessung und im Jahr der AuflÃ¶sung der Ehe werden nicht geteilt (Art. 50b Abs. 2 und 3 AHVV).</w:t>
      </w:r>
    </w:p>
    <w:p>
      <w:r>
        <w:t>4.4 Â Â Â Â Die Summe der Erwerbseinkommen wird entsprechend dem Rentenindex gemÃ¤ss Art. 33 ter AHVG aufgewertet (Art. 30 Abs. 1 AHVG). Das Bundesamt legt die Faktoren fÃ¼r die Aufwertung jÃ¤hrlich fest (Art. 51 bis Abs. 1 AHVV). Der Aufwertungsfaktor wird nach dem Kalenderjahr bestimmt, in welchem der erste Eintrag in das individuelle Konto (IK) vorgenommen wurde (Art. 51 bis Abs. 2 AHVV). Die Summe der aufgewerteten Erwerbseinkommen sowie die Erziehungs- oder Betreuungsgutschriften werden durch die Anzahl der Beitragsjahre geteilt (Art. 30 Abs. 2 AHVG).</w:t>
      </w:r>
    </w:p>
    <w:p>
      <w:r>
        <w:t>Â 4.5Â Â Â  Der BeschwerdefÃ¼hrer reiste im Mai 1983 in die Schweiz ein und hat seit August 1983 BeitrÃ¤ge bezahlt (Urk. 9/13/4). Im Jahr 1998 hat er gemÃ¤ss eigenen Angaben krankheitsbedingt keine BeitrÃ¤ge entrichtet (Urk. 9/34). Insgesamt weist er eine Beitragszeit von 14 Jahren und 8 Monaten auf (Urk. 9/41 S. 3), wÃ¤hrenddem sein Jahrgang bis zum 31. Dezember vor Eintritt der InvaliditÃ¤t, somit bis zum 31. Dezember 1997, 23 Beitragsjahre zurÃ¼ckgelegt hat (Rententabellen 1997 S. 7). Da die neun Beitragsmonate, die er im Jahr des Eintritts der InvaliditÃ¤t zurÃ¼ckgelegt hat, zur LÃ¼ckenfÃ¼llung angerechnet werden kÃ¶nnen, kann der BeschwerdefÃ¼hrer eine fÃ¼r die Wahl der Rentenskala massgebende Beitragszeit von 15 Jahren und 5 Monaten vorweisen. Aus der GegenÃ¼berstellung zur vollstÃ¤ndigen Beitragsdauer von 23 Jahren ergibt dies einen Anspruch auf eine Teilrente innerhalb der Rentenskala 29 (vgl. Rententabellen 1997 S. 16).</w:t>
      </w:r>
    </w:p>
    <w:p>
      <w:r>
        <w:t>4.6Â Â Â Â  Der BeschwerdefÃ¼hrer war bis 1988 in erster und ab 1989 in zweiter Ehe verheiratet (vgl. vorstehend Erw. 3.2). Die Beschwerdegegnerin hat die den individuellen Konten aller drei Beteiligten gutgeschriebenen Einkommen ermittelt (Urk. 9/13/1-4) und sodann die Einkommen wÃ¤hrend der Ehejahre je hÃ¤lftig den jeweiligen Ehegatten zugerechnet (Urk. 9/39-40). Die resultierenden BetrÃ¤ge fÃ¼r die Ermittlung des massgebenden durchschnittlichen Jahreseinkommens des BeschwerdefÃ¼hrers (Urk. 9/41 S. 1 f.) sind das rechnerisch korrekte Ergebnis dieses Zuteilungsverfahrens, so dass auch das von der Beschwerdegegnerin ermittelte Einkommenstotal von Fr. 425'015.-- (Urk. 9/41 S. 2 oben) und das massgebende durchschnittliche Jahreseinkommen von Fr. 52'536.-- (Urk. 9/41 S. 3 unten) zutreffend sind.</w:t>
      </w:r>
    </w:p>
    <w:p>
      <w:r>
        <w:t>Â 4.7Â Â Â  Nach dem Dargelegten erweist sich die Rentenberechnung der Beschwerdegegnerin - gegen die im Ãbrigen keinerlei substantiierte Einwendungen erhoben wurden - als richtig, was zur Abweisung der Beschwerde in diesem Punkt fÃ¼hrt.</w:t>
      </w:r>
    </w:p>
    <w:p>
      <w:r>
        <w:t>Â</w:t>
      </w:r>
    </w:p>
    <w:p>
      <w:r>
        <w:t>5.Â Â Â Â Â Â</w:t>
      </w:r>
    </w:p>
    <w:p>
      <w:r>
        <w:t>5.1Â Â Â Â  Zu prÃ¼fen ist sodann, bis zu welchem Zeitpunkt dem BeschwerdefÃ¼hrer eine Zusatzrente fÃ¼r die Ehefrau zustand.</w:t>
      </w:r>
    </w:p>
    <w:p>
      <w:r>
        <w:t>Der Anspruch auf eine Zusatzrente fÃ¼r den Ehegatten ist in Art. 34 IVG geregelt; Art. 34 Abs. 4 IVG lautet:</w:t>
      </w:r>
    </w:p>
    <w:p>
      <w:r>
        <w:t>Kommt der rentenberechtigte Ehegatte seiner Unterhaltspflicht gegenÃ¼ber der Familie nicht nach oder leben die Ehegatten getrennt, so ist die Zusatzrente dem andern Ehegatten auszuzahlen, wenn dieser es verlangt. Sind sie geschieden, so ist die Zusatzrente von Amtes wegen dem nicht rentenberechtigten Ehegatten auszuzahlen. Vorbehalten bleiben abweichende zivilrichterliche Anordnungen.</w:t>
      </w:r>
    </w:p>
    <w:p>
      <w:r>
        <w:t>5.2Â Â Â Â  Als wesentlich erweist sich somit die Frage, in welchem Zeitpunkt die Ehe des BeschwerdefÃ¼hrers geschieden wurde, was wiederum davon abhÃ¤ngt, auf welches der beiden angefÃ¼hrten Scheidungsurteile (vgl. vorstehend Erw. 2 und Erw. 3.4-5) abzustellen ist.</w:t>
      </w:r>
    </w:p>
    <w:p>
      <w:r>
        <w:t>5.3Â Â Â Â  GemÃ¤ss Art. 59 des Bundesgesetzes Ã¼ber das Internationale Privatrecht (IPRG) sind fÃ¼r Klagen auf Scheidung oder Trennung die schweizerischen Gerichte am Wohnsitz des Beklagten zustÃ¤ndig. VÃ¶lkerrechtliche VertrÃ¤ge, welche dieser Regelung vorgehen wÃ¼rden (Art. 1 Abs. 2 IPRG), gibt es nicht (Siehr, Basler Kommentar 1996, N. 2 zu Art. 59 IPRG).</w:t>
      </w:r>
    </w:p>
    <w:p>
      <w:r>
        <w:t>5.4Â Â Â Â  Es ist aktenkundig, dass die Ehegattin des BeschwerdefÃ¼hrers am 2. Oktober 1998 in der Schweiz das Begehren um Ehescheidung gestellt hat (vorstehend Erw. 3.3 und 3.7). Ebenso ist aktenkundig, dass der BeschwerdefÃ¼hrer - wie Ã¼brigens auch seine Ehefrau - in diesem Zeitpunkt Wohnsitz in der Schweiz hatte (vorstehend Erw. 3.1).</w:t>
      </w:r>
    </w:p>
    <w:p>
      <w:r>
        <w:t>Â Â Â Â Â Â Â Â  Die ZustÃ¤ndigkeit des schweizerischen Gerichts steht somit aufgrund des klaren Wortlauts von Art. 59 IPRG und des klaren Sachverhalts ohne weiteres fest. Damit ist das am 7. MÃ¤rz 2000 rechtskrÃ¤ftig gewordene Scheidungsurteil des Bezirksgerichts ZÃ¼rich vom 21. Dezember 1999 massgebend.</w:t>
      </w:r>
    </w:p>
    <w:p>
      <w:r>
        <w:t>Dem spÃ¤ter ergangenen Urteil des Gemeindegerichts E___, das aufgrund des vom BeschwerdefÃ¼hrer im Gegenzug am 5. Oktober 1998 im Heimatstaat angestrengten Scheidungsverfahren erlassen wurde, kommt hingegen fÃ¼r die Frage des Scheidungszeitpunkts keine Bedeutung zu.</w:t>
      </w:r>
    </w:p>
    <w:p>
      <w:r>
        <w:t>Auch der BeschwerdefÃ¼hrer scheint sich - trotz Festhaltens an seinen AntrÃ¤gen - dieser Sichtweise anzuschliessen, beschrÃ¤nkte er doch in Kenntnis des Wortlauts des jugoslawischen Urteils seine AusfÃ¼hrungen auf die Frage der Auszahlung der Kinderrente (Urk. 12 S. 1 Ziff. II.1) und bezeichnete das fragliche Urteil ausdrÃ¼cklich als Âeigentliches AbÃ¤nderungsurteilÂ (Urk. 12 S. 2 oben).</w:t>
      </w:r>
    </w:p>
    <w:p>
      <w:r>
        <w:t>5.5Â Â Â Â  Zusammenfassend ist daher festzustellen, dass die Beschwerdegegnerin die Auszahlung der Ehegatten-Zusatzrente an den BeschwerdefÃ¼hrer zu Recht nur bis 31. MÃ¤rz 2000 vorgenommen hat. Ab 1. April 2000 steht die Ehegatten-Zusatzrente der geschiedenen Ehefrau des BeschwerdefÃ¼hrers zu.</w:t>
      </w:r>
    </w:p>
    <w:p>
      <w:r>
        <w:t>Â Â Â Â Â Â Â Â  Dies fÃ¼hrt zur Abweisung der Beschwerde in diesem Punkt.</w:t>
      </w:r>
    </w:p>
    <w:p>
      <w:r>
        <w:rPr>
          <w:b/>
        </w:rPr>
        <w:t>E. 6</w:t>
      </w:r>
    </w:p>
    <w:p>
      <w:r>
        <w:t>6.1Â Â Â Â  Zu prÃ¼fen bleibt die Frage der Kinderrenten.</w:t>
      </w:r>
    </w:p>
    <w:p>
      <w:r>
        <w:t>Der Anspruch auf eine Kinderrente ist in Art. 35 IVG geregelt. Art. 35 Abs. 4 IVG in der ab 1. Januar 1997 geltenden Fassung lautet:</w:t>
      </w:r>
    </w:p>
    <w:p>
      <w:r>
        <w:t>Die Kinderrente wird wie die Rente ausbezahlt, zu der sie gehÃ¶rt. Vorbehalten bleiben die Bestimmungen Ã¼ber die zweckgemÃ¤sse Rentenverwendung (Art. 50 IVG) und abweichende zivilrichterliche Anordnungen. Der Bundesrat kann ergÃ¤nzende Vorschriften fÃ¼r die Auszahlung erlassen, namentlich fÃ¼r Kinder aus getrennter oder geschiedener Ehe.</w:t>
      </w:r>
    </w:p>
    <w:p>
      <w:r>
        <w:t>6.2Â Â Â Â  Die unter Art. 35 IVG in der bis Ende 1996 gÃ¼ltig gewesenen Fassung ergangene Rechtsprechung zur Drittauszahlung von Kinderrenten fÃ¼r Kinder aus getrennter oder geschiedener Ehe (BGE 103 V 134 Erw. 3; SVR 2002 IV Nr. 5 S. 11 Erw. 3c/aa, je mit Hinweisen) ist unter Art. 35 Abs. 4 IVG in der seit 1. Â Januar 1997 geltenden Fassung weiterhin massgebend (Entscheid des EidgenÃ¶ssischen Versicherungsgerichts, EVG, vom 9. September 2002 i. S. Z., I 134/01, Erw. 2).</w:t>
      </w:r>
    </w:p>
    <w:p>
      <w:r>
        <w:t>Nach der Rechtsprechung, die das EVG unter der Herrschaft der bis Ende 1996 in Kraft gewesenen Rechtsnormen entwickelt hatte, konnte bei geschiedener Ehe der nicht rentenberechtigte Elternteil, der das Sorgerecht innehatte, unter gewissen Voraussetzungen verlangen, dass die Kinderrenten, die dem rentenberechtigten Elternteil zugesprochen worden waren, an ihn ausbezahlt wurden (vgl. BGE 98 V 216). Nachdem der Bundesrat, dem in Art. 35 Abs. 4 Satz 3 IVG in der ab 1. Januar 1997 geltenden Fassung die Kompetenz Ã¼bertragen worden ist, namentlich fÃ¼r Kinder aus getrennter oder geschiedener Ehe ergÃ¤nzende Vorschriften fÃ¼r die Auszahlung zu erlassen, bis anhin von seinem Verordnungsrecht keinen Gebrauch gemacht hat, und die frÃ¼here Rechtsprechung weiterhin Anwendung findet, ist auf die Regelung abzustellen, die das Bundesamt fÃ¼r Sozialversicherung in seiner Wegleitung Ã¼ber die Renten in der EidgenÃ¶ssischen Alters-, Hinterlassenen- und Invalidenversicherung (RWL) aufgestellt hat: Sind die Eltern des Kindes nicht mehr verheiratet, so sind die Kinderrenten vorbehÃ¤ltlich abweichender zivilrichterlicher Anordnung auf Verlangen dem nicht rentenberechtigten Elternteil auszubezahlen, wenn dieser die elterliche Sorge besitzt und die Kinder nicht beim rentenberechtigten Elternteil wohnen (RWL Rz 10007 ff.).</w:t>
      </w:r>
    </w:p>
    <w:p>
      <w:r>
        <w:t>6.3Â Â Â Â  GemÃ¤ss Art. 85 IPRG gilt fÃ¼r den Schutz von MinderjÃ¤hrigen das Haager Ãbereinkommen vom 5. Oktober 1961 Ã¼ber die ZustÃ¤ndigkeit der BehÃ¶rden und das anzuwendende Recht auf dem Gebiet des Schutzes von MinderjÃ¤hrigen (MSA, SR 0.211.231.01), dies in Bezug auf die ZustÃ¤ndigkeit der schweizerischen Gerichte oder BehÃ¶rden, das anwendbare Recht und die Anerkennung auslÃ¤ndischer Entscheidungen oder Massnahmen. ZustÃ¤ndig sind in erster Linie die Gerichte und VerwaltungsbehÃ¶rden des Staates, in dem der MinderjÃ¤hrige seinen gewÃ¶hnlichen Aufenthalt hat (Art. 1 MSA; vgl. auch BGE 126 III 298). Von der MSA erfasste konkrete Massnahmen sind unter anderem die Ordnung des Eltern-Kind-VerhÃ¤ltnisses nach Scheidung der Ehe der Eltern, mit Ausnahme der Unterhaltsregelung, und die Ordnung des Eltern-Kind-VerhÃ¤ltnisses aufgrund verÃ¤nderter VerhÃ¤ltnisse nach Rechtskraft des Scheidungsurteils (Schwander, Basler Kommentar 1996, N 24 zu Art. 85 IPRG).</w:t>
      </w:r>
    </w:p>
    <w:p>
      <w:r>
        <w:t>6.4Â Â Â Â  Aufgrund der klaren kollisionsrechtlichen Regelung (vorstehend Erw. 6.3) sind hier die Vorschriften des MSA anwendbar. Ein GewaltverhÃ¤ltnis im Sinne von Art. 3 MSA besteht nicht. Ein Evokationsrecht gemÃ¤ss Art. 4 MSA steht nur Vertragsstaaten zu, zu denen Jugoslawien nicht gehÃ¶rt (BGE 126 III 302). Eine Verlegung des Aufenthalts der MinderjÃ¤hrigen im Sinne von Art. 5 Abs. 3 MSA liegt nicht vor. Somit bleibt es bei der in Art. 1 MSA festgelegten ZustÃ¤ndigkeit des Aufenthaltsstaats. Dies ist die Schweiz.</w:t>
      </w:r>
    </w:p>
    <w:p>
      <w:r>
        <w:t>Â Â Â Â Â Â Â Â  Das vom BeschwerdefÃ¼hrer angerufene jugoslawische Gericht ist somit nicht zustÃ¤ndig zur AbÃ¤nderung der im Urteil des Bezirksgericht ZÃ¼rich geregelten Scheidungsfolgen betreffend das Sorgerecht fÃ¼r die Kinder.</w:t>
      </w:r>
    </w:p>
    <w:p>
      <w:r>
        <w:t>Â Â Â Â Â Â Â Â  Somit bleibt es bei der Festlegung im Scheidungsurteil des Bezirksgerichts ZÃ¼rich, wonach die elterliche Gewalt Ã¼ber beide Kinder der Mutter zusteht (vgl. vorstehend Erw. 3.4).</w:t>
      </w:r>
    </w:p>
    <w:p>
      <w:r>
        <w:t>6.5Â Â Â Â  Rz 10009 RWL verlangt weiter, dass die Kinder nicht beim rentenberechtigten Elternteil wohnen.</w:t>
      </w:r>
    </w:p>
    <w:p>
      <w:r>
        <w:t>Â Â Â Â Â Â Â Â  Bereits im Scheidungsurteil des Bezirksgerichts ZÃ¼rich wurde festgehalten, der BeschwerdefÃ¼hrer sei berechtigt, die Kinder zu bestimmten Zeiten Âzu sich oder mit sich auf Besuch zu nehmenÂ (Urk. 9/46 S. 2 Ziff. 3). Diese Anordnung setzt schon von ihrem Wortlaut her voraus, dass die Kinder bei der die elterlichen Gewalt innehabenden Mutter wohnen, und der Vater anderswo.</w:t>
      </w:r>
    </w:p>
    <w:p>
      <w:r>
        <w:t>Â Â Â Â Â Â Â Â  GemÃ¤ss den unbestritten gebliebenen Feststellungen im jugoslawischen Urteil, das vom BeschwerdefÃ¼hrer selber eingereicht wurde, wurde dieser sodann am 7. Juni 2000 ausdrÃ¼cklich verpflichtet, aus der gemeinsamen Wohnung auszuziehen und diese der Mutter und den Kindern zu Ã¼berlassen. Dieser gerichtlichen Anordnung sei er allerdings nicht nachgekommen (Urk. 13 S. 4 unten). Erst per Ende August 2002 bezog er dann eine eigene Wohnung (vgl. vorstehend Erw. 3.9).</w:t>
      </w:r>
    </w:p>
    <w:p>
      <w:r>
        <w:t>Â Â Â Â Â Â Â Â  Die Mutter ihrerseits bestÃ¤tigte, dass beide Kinder bei ihr wohnen (vgl. vorstehend Erw. 3.9).</w:t>
      </w:r>
    </w:p>
    <w:p>
      <w:r>
        <w:t>6.6Â Â Â Â  Die dargelegten UmstÃ¤nde lassen sich wie folgt zusammenfassen: Wie im Scheidungsurteil vorgesehen wohnen die Kinder bei der Mutter als Inhaberin der gesetzlichen Gewalt. Entgegen dem, wovon im Scheidungsurteil ausgegangen wurde, und entgegen einer ausdrÃ¼cklichen gerichtlichen Anordnung hat der BeschwerdefÃ¼hrer jedoch die gemeinsame Wohnung erst per Ende August 2002 der geschiedenen Frau Ã¼berlassen; bis zu diesem Zeitpunkt hat er, wenn er nicht in Jugoslawien weilte, auch dort gewohnt, obwohl er dazu nicht berechtigt gewesen wÃ¤re.</w:t>
      </w:r>
    </w:p>
    <w:p>
      <w:r>
        <w:t>Â Â Â Â Â Â Â Â  Es wohnten demnach die Kinder nach der Scheidung nicht beim BeschwerdefÃ¼hrer; sie wohnten und wohnen bei der Mutter. Der BeschwerdefÃ¼hrer seinerseits wohnte - unberechtigterweise - am gleichen Ort.</w:t>
      </w:r>
    </w:p>
    <w:p>
      <w:r>
        <w:t>Â Â Â Â Â Â Â Â  Vor diesem Hintergrund erscheint es als nachgerade rechtsmissbrÃ¤uchlich, wenn der BeschwerdefÃ¼hrer aus dem Umstand, dass er sich erst per Ende August 2002 dazu bequemt hat, dem Scheidungsurteil und der anschliessenden gerichtlichen Aufforderung folgend eine eigene Wohnung zu beziehen, noch finanzielle Vorteile ziehen will, indem er die Kinderrenten beansprucht.</w:t>
      </w:r>
    </w:p>
    <w:p>
      <w:r>
        <w:t>Dies ist umso stossender, als er - wiederum gemÃ¤ss unbestrittener Darstellung im von ihm eingereichten jugoslawischen Scheidungsurteil - sogar ein ArbeitsverhÃ¤ltnis aufgelÃ¶st hat, Âum die Zahlungen gemÃ¤ss der rechtskrÃ¤ftigen Entscheidung des Gerichts in ZÃ¼rich zu vermeidenÂ (Urk. 13 S. 4 unten).</w:t>
      </w:r>
    </w:p>
    <w:p>
      <w:r>
        <w:t>Dies verweist zurÃ¼ck auf den materiellen Gehalt der Rz 10007 ff. RWL, insbesondere Rz 10009 RWL: Die Bestimmung soll offensichtlich sicherstellen, dass im Sinne einer zweckmÃ¤ssigen Verwendung die Kinderrenten derjenigen Person ausgerichtet werden, welche fÃ¼r die Kinder verantwortlich ist und auch die entsprechenden finanziellen Aufwendungen trÃ¤gt. Als Regel kann dabei angenommen werden, dass der Elternteil, bei dem die Kinder wohnen, auch deren Unterhalt bestreitet, so dass es,Â  wenn die Kinder beim rentenberechtigten Elternteil wohnen, sachgerecht ist, diesem auch die Kinderrenten zukommen zu lassen.</w:t>
      </w:r>
    </w:p>
    <w:p>
      <w:r>
        <w:t>Auch dieser Aspekt spricht gegen eine Auszahlung der Kinderrenten an den BeschwerdefÃ¼hrer, der offenbar nicht einmal willens ist, den Teil an den Unterhalt der Kinder beizutragen, zu dem er gerichtlich verpflichtet worden ist. WÃ¼rden ihm die Kinderrenten ausbezahlt, bestÃ¼nde keinerlei GewÃ¤hr fÃ¼r deren zweckmÃ¤ssige Verwendung (zugunsten der Kinder), es erscheint im Gegenteil als Ã¼berwiegend wahrscheinlich, dass der BeschwerdefÃ¼hrer das Geld fÃ¼r sich selber verwenden wÃ¼rde.</w:t>
      </w:r>
    </w:p>
    <w:p>
      <w:r>
        <w:t>6.7Â Â Â Â  Zusammenfassend bleibt festzuhalten, dass die Kinderrenten der Mutter, der die elterliche Gewalt Ã¼bertragen wurde und bei der die Kinder wohnen, zusteht.</w:t>
      </w:r>
    </w:p>
    <w:p>
      <w:r>
        <w:t>Â Â Â Â Â Â Â Â  Die angefochtenen VerfÃ¼gungen erweisen sich auch in dieser Hinsicht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iur. Thomas BÃ¼rgi</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