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EE.2023.00009 vom 10. August 2023</w:t>
      </w:r>
    </w:p>
    <w:p>
      <w:r>
        <w:t>ZH Sozialversicherungsgericht, 2023-08-10, DE</w:t>
      </w:r>
    </w:p>
    <w:p>
      <w:r>
        <w:rPr>
          <w:b/>
        </w:rPr>
        <w:t xml:space="preserve">Quelle: </w:t>
      </w:r>
      <w:r>
        <w:t>https://mcp.opencaselaw.ch/entscheid/zh_sozialversicherungsgericht_EE.2023.00009</w:t>
      </w:r>
    </w:p>
    <w:p>
      <w:r>
        <w:t>FR: ZH_SOZIALVERSICHERUNGSGERICHT EE.2023.00009 du 10 août 2023</w:t>
      </w:r>
    </w:p>
    <w:p>
      <w:r>
        <w:t>IT: ZH_SOZIALVERSICHERUNGSGERICHT EE.2023.00009 del 10 agosto 2023</w:t>
      </w:r>
    </w:p>
    <w:p>
      <w:pPr>
        <w:pStyle w:val="Heading2"/>
      </w:pPr>
      <w:r>
        <w:t>Erwägungen</w:t>
      </w:r>
    </w:p>
    <w:p>
      <w:r>
        <w:rPr>
          <w:b/>
        </w:rPr>
        <w:t>E. 1</w:t>
      </w:r>
    </w:p>
    <w:p>
      <w:r>
        <w:t>1. Januar 2022, Urk. 7/68 ). Gleichentags forderte die Ausgleichskasse die ausgerichtete Ent schä digung für die Monate September und Oktober 2021 zurück (Rück for de rungs verfügung vom 1 1. Januar 2022, Urk. 7/67). Die dagegen vom Ver sicherten am</w:t>
      </w:r>
    </w:p>
    <w:p>
      <w:r>
        <w:rPr>
          <w:b/>
        </w:rPr>
        <w:t>E. 1.1</w:t>
      </w:r>
    </w:p>
    <w:p>
      <w:r>
        <w:t>Die Beschwerdegegnerin verneinte einen Anspruch auf Corona-Erwerbsausfall ent schädigung in den Monaten September bis Dezember 2021 mit der Be grün dung, dass nur selbständigerwerbende Personen anspruchsberechtigt seien, die aufgrund kantonaler oder auf Bundesebene be schlossener Massnahmen zur Bekämpfung des Coronavirus ihre Erwerbs tätigkeit erheblich einschränken müssten und deshalb einen Erwerbs- oder Lohnausfall erlitten hätten . Der Zusammen hang zwischen der geltend gemachten Ein schrän kung in der Tätigkeit des Beschwer de führers mit den in Kraft gewesenen Mass nahmen sei nicht erwiesen</w:t>
      </w:r>
    </w:p>
    <w:p>
      <w:r>
        <w:t>(Urk. 2).</w:t>
      </w:r>
    </w:p>
    <w:p>
      <w:r>
        <w:rPr>
          <w:b/>
        </w:rPr>
        <w:t>E. 1.2</w:t>
      </w:r>
    </w:p>
    <w:p>
      <w:r>
        <w:t>Der Beschwerdeführer machte demgegenüber zusammengefasst geltend (Urk. 1), er erwirtschafte seinen Umsatz mit Verkauf von Reinigungsprodukten an Gastro nomiebetriebe und sei deshalb indirekt durch die behördlich angeordnete Zerti fi kats pflicht in der Gastronomie betroffen. Die starken Umsatzeinbussen und teils Schliessungen in der Gastronomie hätten dazu geführt, dass seine Kunden sich das von ihm vertriebene High-End-Produkt nicht mehr leisten konnten. Neu kunden zu akquirieren sei unter diesen Umständen unmöglich gewesen. Der Kausal zusammenhang zwischen den in den Monaten September bis Dezember</w:t>
      </w:r>
    </w:p>
    <w:p>
      <w:r>
        <w:t>2021 in Kraft gewesenen behördlichen Massnahmen und den geltend gemachten Umsatz einbussen sei damit ausgewiesen. 2.</w:t>
      </w:r>
    </w:p>
    <w:p>
      <w:r>
        <w:rPr>
          <w:b/>
        </w:rPr>
        <w:t>E. 2</w:t>
      </w:r>
    </w:p>
    <w:p>
      <w:r>
        <w:t>8. Januar 2022 (Urk. 7/71 ) sowie ergänzend am 2 2. März 2022 (Urk. 7/94) erhobene Einspra che wies die Ausgleichskasse mit Einsprache ent scheid vom 14.</w:t>
      </w:r>
    </w:p>
    <w:p>
      <w:r>
        <w:t>Februar 202</w:t>
      </w:r>
    </w:p>
    <w:p>
      <w:r>
        <w:rPr>
          <w:b/>
        </w:rPr>
        <w:t>E. 2.1</w:t>
      </w:r>
    </w:p>
    <w:p>
      <w:r>
        <w:t>Nach Art. 185 Abs.</w:t>
      </w:r>
    </w:p>
    <w:p>
      <w:r>
        <w:rPr>
          <w:b/>
        </w:rPr>
        <w:t>E. 2.2</w:t>
      </w:r>
    </w:p>
    <w:p>
      <w:r>
        <w:t>In zeitlicher Hinsicht sind grundsätzlich diejenigen Rechtssätze massgebend , die bei Erfüllung des rechtlich zu ordnenden oder zu Rechtsfolgen führenden Tatbe standes Geltung haben (BGE 146 V 364 E. 7.1, 144 V 210 E. 4.3.1, je m.w.H .). D as Sozialversicherungsgericht stellt bei der Beurteilung eines Falles grundsätzlich auf den bis zum Zeitpunkt des Erlasses der streitigen Verfügung beziehungsweise des streitigen Einspracheentscheids eingetretenen Sachverhalt ab (BGE 144 V 210 E. 4.3.1, 132 V 215 E. 3.1.1 ).</w:t>
      </w:r>
    </w:p>
    <w:p>
      <w:r>
        <w:t>Mit seinen Gesuchen vom 1. November 2021 und 3. Januar 2022 beantragte der Beschwerdeführer die Ausrichtung einer Corona-Erwerbsausfallent schä di gung für die Monate September</w:t>
      </w:r>
    </w:p>
    <w:p>
      <w:r>
        <w:t>bis Dezember 2021 ( Urk. 7/61-62, Urk. 7/65-66 ). Vorliegend sind somit das Bundesgesetz über die gesetzlichen Grundlagen für Ver ordnungen des Bundesrates zur Bewältigung der Covid-19-Epidemie (Covid-19-Gesetz) und der vom Bundesrat am 4. November 2020 rückwirkend per 17.</w:t>
      </w:r>
    </w:p>
    <w:p>
      <w:r>
        <w:t>Sep tember 2020 in Kraft gesetzten Art. 2 Abs.</w:t>
      </w:r>
    </w:p>
    <w:p>
      <w:r>
        <w:rPr>
          <w:b/>
        </w:rPr>
        <w:t>E. 2.3.1</w:t>
      </w:r>
    </w:p>
    <w:p>
      <w:r>
        <w:t>Gestützt auf Art. 15 Covid-19-Gesetz hat der Bundesrat die vorliegend anwendbare Version der Covid-19-Verordnung Erwerbsausfall (Stand: 2 0. September</w:t>
      </w:r>
    </w:p>
    <w:p>
      <w:r>
        <w:t>2021) erlassen.</w:t>
      </w:r>
    </w:p>
    <w:p>
      <w:r>
        <w:rPr>
          <w:b/>
        </w:rPr>
        <w:t>E. 2.3.2</w:t>
      </w:r>
    </w:p>
    <w:p>
      <w:r>
        <w:t>Gemäss Art. 2 Abs.</w:t>
      </w:r>
    </w:p>
    <w:p>
      <w:r>
        <w:rPr>
          <w:b/>
        </w:rPr>
        <w:t>E. 3</w:t>
      </w:r>
    </w:p>
    <w:p>
      <w:r>
        <w:t>ter ). 2.</w:t>
      </w:r>
    </w:p>
    <w:p>
      <w:r>
        <w:rPr>
          <w:b/>
        </w:rPr>
        <w:t>E. 3.1</w:t>
      </w:r>
    </w:p>
    <w:p>
      <w:r>
        <w:t>Gemäss eigenen Angaben verkauf t der Beschwerdeführer auf Provisionsbasis Reini gungs pro dukte, in erster Linie das Produkt « Y.___ », der Z.___ GmbH an Gastronomiebetriebe und führ t in diesem Zusammenhang Schu lun gen und Produkt seminare vor Ort durch (Urk. 1 S. 5, vgl. auch Urk. 7/61-62, Urk. 7/65-66). Der Beschwerdeführer machte beschwer de weise nicht geltend, dass er un mittelbar aufgrund von behördlichen Mass nahmen zur Bekämpfung des Corona virus eine Umsatzeinbusse erlitten hätte. Vielmehr führte er aus, dass die Zertifikatspflicht in der Gastronomie zu starken Umsatzeinbussen und teilweise sogar zu Schliessungen von Gastronomiebetrieben geführt habe. Diese hätten des halb Kosten einsparen müssen und weniger von seinem High-End-Produkt gekauft. Dadurch seien sein Umsatz und damit seine Provisionen zusammen gefallen (Urk. 1 S. 7).</w:t>
      </w:r>
    </w:p>
    <w:p>
      <w:r>
        <w:rPr>
          <w:b/>
        </w:rPr>
        <w:t>E. 3.2</w:t>
      </w:r>
    </w:p>
    <w:p>
      <w:r>
        <w:t>Der Beschwerdeführer tätigte seine Anmeldungen vom 1. November 2021 und 3. Januar 2022 für die Zeit periode vom 1. September bis 3 1. Dezember 2021</w:t>
      </w:r>
    </w:p>
    <w:p>
      <w:r>
        <w:t>(Urk. 7/61-62, Urk. 7/65-66 ) jeweils unter Berufung auf eine erhebliche Umsatz ein busse und machte damit sinn gemäss einen Anspruch gemäss Art. 2 Abs. 3 bis Covid-19-Verordnung Erwerbs ausfall (vgl. E. 2. 3 ) geltend. Dass der Beschwerde führer in den Monaten September bis Dezember 2021 eine Umsatz ein busse von mindestens 30 Pro zent im Ver gleich zum durchschnittlichen monatlichen Umsatz der Jahre 2015 bis 2019 erlitten hat, ist ausgewiesen und wird nicht bestritten (vgl. Urk. 7/61-62, Urk. 7/65-66). In der Verfügung vom 11. Januar 2022 sowie im Einsprache entscheid vom 1 4. Februar 2023 äusserte sich die Beschwerde gegnerin einzig zu den behördlich an geordneten Massnah men und dass der Beschwerdeführer von solchen nicht mehr betroffen sei, mithin die Kausalität der Umsatzein busse mit den geltenden Mass nahmen nicht mehr gegeben sei. 3. 3</w:t>
      </w:r>
    </w:p>
    <w:p>
      <w:r>
        <w:t>Die Beschwerdegegnerin verweist im angefochtenen Einspracheentscheid auf Rz . 1041.2 des Kreisschreibens über die Entschädigung zur Bekämpfung des Corona virus - Corona-Erwerbsersatz (KS CE). Darin wird aus ge führt, dass Selbständig erwerbende und Personen in arbeitgeberähnlicher Stellung sowie deren mitarbei tende Ehegatten oder einge tragene Partner, die aufgrund von Mass nahmen zur Bekämpfung des Coronavirus einen Erwerbsausfall erlitten, Anspruch auf Corona-Erwerbsersatz infolge mass gebender Einschränkung der Erwerbstätigkeit gel tend machen könnten. Im Vorwort zur ab 1. September 2021 geltenden Version 18 wies das Bundesamt für Sozialversicherungen (BSV) darauf hin, dass aktuell kaum noch behördliche Einschränkungen gelten würden. Deshalb müssten die Ausgleichskassen ihr Augenmerk besonders auf die Gründe richten, die die Versicherten für eine erhebliche Einschränkung der Erwerbs tätigkeit geltend machen. Diese Gründe müssten im Zusammenhang mit den Mass nahmen zur Bekämpfung des Coronavirus stehen (KS CE S. 24). 3.</w:t>
      </w:r>
    </w:p>
    <w:p>
      <w:r>
        <w:rPr>
          <w:b/>
        </w:rPr>
        <w:t>E. 3.5</w:t>
      </w:r>
    </w:p>
    <w:p>
      <w:r>
        <w:t>Gemäss Art.</w:t>
      </w:r>
    </w:p>
    <w:p>
      <w:r>
        <w:rPr>
          <w:b/>
        </w:rPr>
        <w:t>E. 3.6</w:t>
      </w:r>
    </w:p>
    <w:p>
      <w:r>
        <w:t>Mit seiner Argumentation, wonach der Rückgang der Nachfrage nach Reini gungsmitteln für Gastronomiebetriebe indirekt auf die geltende Zerti fikatspflicht und dadurch bedingte Umsatzeinbusse in der Gastro nomie branche zu rück zu führen gewesen sei und daraus eine anspruchsbegründende Umsatzein busse resultiert sei, vermag der Beschwerdeführer nicht durchzudringen. So durften die Gastronomiebetriebe in den Monaten September bis Dezember 2021 geöffnet sein , mithin war auch d er Reinigung sbedarf der Gastronomiebetriebe nicht einge schränkt. Der unternehmerische Entscheid einzelner Gastronomiebetriebe</w:t>
      </w:r>
    </w:p>
    <w:p>
      <w:r>
        <w:t>auf den Kauf des High-End-Reinigungsmittels des Beschwerde führers zu verzich ten, stand nicht in Zusammenhang mit den behördlichen Mass nahmen, womit all fällig daraus resul tierende Erwerbseinbussen nicht mittels einer Corona-Erwerbs ersatz entschä di gung auszugleichen sind . Unter juristischen Gesichts punkten ist ir re le vant und entsprechend nicht anspruchsbegründend, wenn Gastronomie betriebe aufgrund von Sparmassnahmen , allenfalls geleitet von der durch die Pandemie verursachte finanzielle Lage, auf den Kauf von teureren Produkten verzichten, steht dieser Entscheid doch nicht in Zusammenhang mit den konkreten be hördlichen Mass nahmen . Andere Gründe für einen massnahme bedingten Er werbs ausfall i n den Monaten September bis Dezember 2021 sind nicht ersichtlich und hat der Be schwerdeführer auch nicht genannt. Insgesamt bestand keine Einschränkung aufgrund von behördlich angeordneten Mass nahmen zur Be kämpfung der Covid-19-Pandemie im Sinne von Art. 2 Abs. 3 bis lit. a der Covid-19-Verordnung Erwerbsausfall. Die Beschwerdegegnerin hat das Gesuch des Beschwerdeführer s um Auszahlung einer Corona-Erwerbsausfall entschädigung für die Monat No vem ber und Dezember 2021 demnach zu Recht abgewiesen.</w:t>
      </w:r>
    </w:p>
    <w:p>
      <w:r>
        <w:t>4.</w:t>
      </w:r>
    </w:p>
    <w:p>
      <w:r>
        <w:rPr>
          <w:b/>
        </w:rPr>
        <w:t>E. 4</w:t>
      </w:r>
    </w:p>
    <w:p>
      <w:r>
        <w:t>Massgebend ist, ob und inwiefern die Erwerbseinbusse des Beschwerdeführers in den Monaten September bis Dezember 2021</w:t>
      </w:r>
    </w:p>
    <w:p>
      <w:r>
        <w:t>auf die staatlich ver ordneten Mass nahmen gegen das Corona-Virus zurückzuführen war. Diesbezüglich ist darauf hinzuweisen, dass von den behördlichen Massnahmen indirekt Betroffene Anspruch auf eine Entschädigung gestützt auf Art. 2 Abs. 3 bis Covid-19-Verordnung Erwerbsausfall haben können ( BGE 147 V 423 E. 4;</w:t>
      </w:r>
    </w:p>
    <w:p>
      <w:r>
        <w:t>Urteile des hiesigen Gerichts EE.2022.00050 vom 1 1. Oktober 2022 und EE.2022.00014 vom 8. Oktober 2022) .</w:t>
      </w:r>
    </w:p>
    <w:p>
      <w:r>
        <w:rPr>
          <w:b/>
        </w:rPr>
        <w:t>E. 4.1</w:t>
      </w:r>
    </w:p>
    <w:p>
      <w:r>
        <w:t>Sodann ist z u prüfen, ob die Voraussetzungen einer Rückerstattungspflicht für die Monate September und Oktober 2021 erfüllt sind.</w:t>
      </w:r>
    </w:p>
    <w:p>
      <w:r>
        <w:rPr>
          <w:b/>
        </w:rPr>
        <w:t>E. 4.2</w:t>
      </w:r>
    </w:p>
    <w:p>
      <w:r>
        <w:t>Zunächst ist festzuhalten, dass zum Zeitpunkt des Erlasses der Rückforderungs verfügung vom 1 1. Januar 2022 ( Urk. 7/67 ) seit de r Abrechnung vom 22. Novem ber 202 1 (vgl. Urk. 7/63 ), womit X.___ für den Zeitraum vom 1 . Sep tember bis 31. Oktober 2021 Tag gelder aus ge richtet worden waren, die Dauer der Rechtsmittelfrist, die bei einer formellen Ver fügung 30 Tagen betragen hätte (Art.</w:t>
      </w:r>
    </w:p>
    <w:p>
      <w:r>
        <w:t>52 Abs. 1 ATSG), bereits verstrichen war. Demzufolge setzt die Rück for de rung dieser Taggelder voraus, dass die Voraus set zungen einer prozessualen Revi sion oder einer Wiedererwägung dieser Abrech nungen erfüllt sind (vgl. E. 2.5 hier vor), wobei eine prozessuale Revision von vornherein ausscheidet, weil die Beschwerdegegnerin nicht gestützt auf neue erhebliche Tatsachen oder Beweis mittel, deren Beibringung zuvor nicht möglich war, die Rückforderung verfügt hat .</w:t>
      </w:r>
    </w:p>
    <w:p>
      <w:r>
        <w:rPr>
          <w:b/>
        </w:rPr>
        <w:t>E. 4.3</w:t>
      </w:r>
    </w:p>
    <w:p>
      <w:r>
        <w:t>Aktenkundig ist, dass die Beschwerdegegnerin dem Beschwerdeführer für die Zeitperiode vom 1. September bis 3 1. Oktober 2021 ausgehend von einer Umsatzeinbusse von 64.83 % (September 2021; vgl. Urk. 7/61) resp. 61.77 % (Oktober</w:t>
      </w:r>
    </w:p>
    <w:p>
      <w:r>
        <w:t>2021; vgl. Urk. 7/62) eine Corona-Erwerbsersatzentschädigung ausrichtete (vgl. Urk. 7/63). Die Rückforderung erfolgte aufgrund der angepassten Verhältnisse (vgl. Urk. 7/67). Mit Blick auf das oben Ausgeführte war die Ausrichtung der Corona-Erwerbsersatzentschädigung an den Beschwerdeführer betreffend seine Tätigkeit als Verkäufer von Reinigungsmittel in der Gastronomiebranche für die Monate September und Oktober 2021 im Ausrichtungszeitpunkt unrichtig (vgl. E. 3.6 hiervor). Gleichwohl war das Vorgehen der Beschwerdegegnerin, die Tag gelder auszubezahlen, angesichts der ausgewiesenen Umsatzeinbusse nicht zwei fel los unrichtig im wieder - erwägungsrechtlichen Sinne, die bedingen würde, dass kein anderer Schluss als derjenige der zweifellosen Unrichtigkeit möglich wäre. Vielmehr hat die Beschwerdegegnerin den strukturellen Gründen der vom Be schwerdeführer geltend gemachten Umsatzeinbusse zu wenig Beachtung ge schenkt.</w:t>
      </w:r>
    </w:p>
    <w:p>
      <w:r>
        <w:t>Den Akten sind bezüglich der Berechnung der für die Monate September und Oktober 2021 ausbezahlten Taggelder auch keine Anhaltspunkte für offen sichtliche Rechnungsfehler zu entnehmen. Damit präsentieren sich diese Ab rech nungen auch unter diesem Gesichtspunkt nicht als zweifelsohne unrichtig, so dass die Beschwerde für diesen Zeitraum gutzuheissen und der angefochtene Ein sprache entscheid entsprechend teilweise aufzuheben ist.</w:t>
      </w:r>
    </w:p>
    <w:p>
      <w:r>
        <w:t>5.</w:t>
      </w:r>
    </w:p>
    <w:p>
      <w:r>
        <w:t>Zusammenfassend ist die Beschwerde des Beschwerdeführers teilweise gutzu heissen und der angefochtene Einspracheentscheid im Umfang des Rückfor de rungs betrags für die Monate September und Oktober 2021 aufzuheben.</w:t>
      </w:r>
    </w:p>
    <w:p>
      <w:r>
        <w:rPr>
          <w:b/>
        </w:rPr>
        <w:t>E. 6</w:t>
      </w:r>
    </w:p>
    <w:p>
      <w:r>
        <w:t>00.-- festzusetzen ist. Das Gericht erkennt: 1.</w:t>
      </w:r>
    </w:p>
    <w:p>
      <w:r>
        <w:t>In teilweiser Gutheissung der Beschwerde des Beschwerdeführers wird der angefoch tene Einspracheentscheid vom 1 4. Februar 2023 im Umfang des Rückforderungsbetrags für die Monate September und Oktober 2021 aufgehoben. 2.</w:t>
      </w:r>
    </w:p>
    <w:p>
      <w:r>
        <w:t>Das Verfahren ist kostenlos. 3.</w:t>
      </w:r>
    </w:p>
    <w:p>
      <w:r>
        <w:t>Die Beschwerdegegnerin wird verpflichtet, dem Beschwerdeführer eine reduzierte Parteientschädigung von Fr. 600 .-- (inkl. Barauslagen und MWST) zu bezahlen. 4.</w:t>
      </w:r>
    </w:p>
    <w:p>
      <w:r>
        <w:t>Zustellung gegen Empfangsschein an: - Rechtsanwalt Tomas Kempf - Sozialversicherungsanstalt des Kantons Zürich, Ausgleichskasse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