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EE.2022.00078 vom 9. März 2023</w:t>
      </w:r>
    </w:p>
    <w:p>
      <w:r>
        <w:t>ZH Sozialversicherungsgericht, 2023-03-09, DE</w:t>
      </w:r>
    </w:p>
    <w:p>
      <w:r>
        <w:rPr>
          <w:b/>
        </w:rPr>
        <w:t xml:space="preserve">Quelle: </w:t>
      </w:r>
      <w:r>
        <w:t>https://mcp.opencaselaw.ch/entscheid/zh_sozialversicherungsgericht_EE.2022.00078</w:t>
      </w:r>
    </w:p>
    <w:p>
      <w:r>
        <w:t>FR: ZH_SOZIALVERSICHERUNGSGERICHT EE.2022.00078 du 9 mars 2023</w:t>
      </w:r>
    </w:p>
    <w:p>
      <w:r>
        <w:t>IT: ZH_SOZIALVERSICHERUNGSGERICHT EE.2022.00078 del 9 marzo 2023</w:t>
      </w:r>
    </w:p>
    <w:p>
      <w:pPr>
        <w:pStyle w:val="Heading2"/>
      </w:pPr>
      <w:r>
        <w:t>Erwägungen</w:t>
      </w:r>
    </w:p>
    <w:p>
      <w:r>
        <w:rPr>
          <w:b/>
        </w:rPr>
        <w:t>E. 1</w:t>
      </w:r>
    </w:p>
    <w:p>
      <w:r>
        <w:t>2. Oktober 2022 die zu viel ausgerichtete Entschädigung für die Monate Januar bis</w:t>
      </w:r>
    </w:p>
    <w:p>
      <w:r>
        <w:t>Dezember 2021 von insgesamt Fr. 6'928.70 wieder zurück ( Urk. 10/4 ).</w:t>
      </w:r>
    </w:p>
    <w:p>
      <w:r>
        <w:t>Die von der X.___ GmbH gegen die Rück for derung am 13.</w:t>
      </w:r>
    </w:p>
    <w:p>
      <w:r>
        <w:t>Ok tober 2022 (Urk. 10/3 ) erhobene Einsprache wies die Aus gleichs kasse mit Einsprache entscheid vom</w:t>
      </w:r>
    </w:p>
    <w:p>
      <w:r>
        <w:rPr>
          <w:b/>
        </w:rPr>
        <w:t>E. 3</w:t>
      </w:r>
    </w:p>
    <w:p>
      <w:r>
        <w:t>Covid-19-Gesetz). Seit ihrem Inkrafttreten per 1 7. März 2020 wurde die Covid-19-Verordnung Erwerb sausfall vom Bundesrat mehrfach geändert. 2.2</w:t>
      </w:r>
    </w:p>
    <w:p>
      <w:r>
        <w:t>In zeitlicher Hinsicht sind grundsätzlich diejenigen Rechtssätze massgebend, die bei der Erfüllung des zu Rechtsfolgen führenden Tatbestandes Geltung haben (BGE 130 V 445 E. 1.2.1). Für zeitlich offene Dauersachverhalte bedeutet dies, dass sie grundsätzlich nach den jeweils geltenden rechtlichen Grundlagen zu beurteilen sind (BGE 148 V 162 E. 3.2.1). Weiter stellt das Sozialversicherungs gericht bei der Beurteilung eines Falles grundsätzlich auf den bis zum Zeitpunkt des Abschlusses des Verwaltungsverfahrens eingetretenen Sachverhalt ab (BGE 131 V 242 E. 2.1, 121 V 362 E. 1b).</w:t>
      </w:r>
    </w:p>
    <w:p>
      <w:r>
        <w:t>Vorliegend streitig ist die Rückforderung der für die Monate Januar bis Dezember 2021 ausgerichteten Corona-Erwerbsersatzentschädigung. Anwendbar sind daher die in diesen Monaten gültigen Bestimmungen, welche nachfolgend in der ent sprechenden Fassung zitiert werden. 2.3</w:t>
      </w:r>
    </w:p>
    <w:p>
      <w:r>
        <w:t>Laut Art. 1 der Covid-19-Verordnung Erwerbsausfall sind die Bestimmungen des Bundesgesetzes über den Allgemeinen Teil des Sozialversicherungsrechts (ATSG) auf die Entschädigungen gemäss dieser Verordnung anwendbar, soweit die nach stehenden Bestimmungen nicht ausdrücklich eine Abweichung vom ATSG vor sehen. Nach Art.</w:t>
      </w:r>
    </w:p>
    <w:p>
      <w:r>
        <w:rPr>
          <w:b/>
        </w:rPr>
        <w:t>E. 3.1</w:t>
      </w:r>
    </w:p>
    <w:p>
      <w:r>
        <w:t>Zu prüfen ist, ob die Voraussetzungen einer Rückerstattungspflicht erfüllt sind.</w:t>
      </w:r>
    </w:p>
    <w:p>
      <w:r>
        <w:rPr>
          <w:b/>
        </w:rPr>
        <w:t>E. 3.2</w:t>
      </w:r>
    </w:p>
    <w:p>
      <w:r>
        <w:t>Zunächst ist festzuhalten, dass zum Zeitpunkt des Erlasses der Rückforderungs verfügung vom 1 2. Oktober 2022 ( Urk. 10/4 ) seit de n Abrechnung en vom 16. Februar, 2. März , 26. Mai, 6. August, 1 5. September, 1 3. Oktober, 2. Novem ber, 2. Dezember 202 1 sowie 6. Januar 2022 (vgl. Urk. 10/7 ), womit Z.___ für den Zeitraum vom 1 . Ja nuar bis 3 1. Dezember 2021 Tag gelder aus ge richtet worden waren, die Dauer der Rechtsmittelfrist, die bei einer formellen Ver fügung 30 Tagen betragen hätte (Art.</w:t>
      </w:r>
    </w:p>
    <w:p>
      <w:r>
        <w:t>52 Abs. 1 ATSG), bereits verstrichen war. Demzufolge setzt die Rück for de rung dieser Taggelder voraus, dass die Voraus set zungen einer prozessualen Revi sion oder einer Wiedererwägung dieser Abrech nungen erfüllt sind (vgl. E. 2.5 hier vor) .</w:t>
      </w:r>
    </w:p>
    <w:p>
      <w:r>
        <w:rPr>
          <w:b/>
        </w:rPr>
        <w:t>E. 3.3</w:t>
      </w:r>
    </w:p>
    <w:p>
      <w:r>
        <w:t>Z.___</w:t>
      </w:r>
    </w:p>
    <w:p>
      <w:r>
        <w:t>hat bei der X.___ GmbH unbestrittenermassen eine arbeitgeberähnliche Stellung, da sie seit dem 1 1. September 2018 (Tagesregister-Datum) im Handelsregister als Gesell schafterin eingetragen ist ( Internet-Handelsregister aus zug des Kanton Zürich ).</w:t>
      </w:r>
    </w:p>
    <w:p>
      <w:r>
        <w:t>Für ihre Tätigkeit ist ein monatlicher Bruttolohn von Fr. 1 ' 25 0.-- vereinbart (Urk.</w:t>
      </w:r>
    </w:p>
    <w:p>
      <w:r>
        <w:t>1 4/B1 ).</w:t>
      </w:r>
    </w:p>
    <w:p>
      <w:r>
        <w:t>Dieser Lohn diente der Beschwerdegegnerin als Bemessungs grund lage und bildete das AHV-pflichtige Einkommen im Jahr 2019 von Fr. 15'000.-- (vgl. Urk. 2). In Bezug auf die einzelnen Antragsmonate gab die Beschwerde führerin an, dass der an Z.___</w:t>
      </w:r>
    </w:p>
    <w:p>
      <w:r>
        <w:t>(ausbezahlte) Lohn für die Zeit vom 1. Januar bis 2 8. Februar 2021</w:t>
      </w:r>
    </w:p>
    <w:p>
      <w:r>
        <w:t>Fr. 5 35 .-- monatlich betragen habe. In den folgenden Monaten sei kein Lohn mehr aus bezahlt worden. Dementsprechend notierte sie für die erste Periode einen Lohn ausfall von Fr.</w:t>
      </w:r>
    </w:p>
    <w:p>
      <w:r>
        <w:t>715 .-- pro Monat , für die weiteren Monate einen solchen von Fr.</w:t>
      </w:r>
    </w:p>
    <w:p>
      <w:r>
        <w:t>1’25 0.-- ( Urk. 14/B1 ).</w:t>
      </w:r>
    </w:p>
    <w:p>
      <w:r>
        <w:t>Vor dem Hin tergrund, dass bei Personen in arbeit geber ähnlicher Stellung sowie mitarbeiten den Ehegatten oder eingetragenen Partnern von Selbstständig erwer ben den oder Personen in arbeitgeberähnlicher Stellung die Entschädigung 80</w:t>
      </w:r>
    </w:p>
    <w:p>
      <w:r>
        <w:t>Pro zent des Lohnausfalls im entsprechenden Monat beträgt und für die Berechnung des Taggeldes das monatliche AHV-pflichtige Ein kom men durch 30 geteilt</w:t>
      </w:r>
    </w:p>
    <w:p>
      <w:r>
        <w:t>wird (vgl.</w:t>
      </w:r>
    </w:p>
    <w:p>
      <w:r>
        <w:t>E. 2.4.3 hiervor; vgl. auch Rz 1058 KS CE), er rechnete die Beschwerdegegnerin für die Monate Januar und Februar 2021 ein Taggeld von Fr. 19.20 ([Fr. 1'250.-- - Fr. 535.--] / 30 x 80 %) und für die Zeit von März bis Dezember 2021 ein solches von Fr. 33.60 (Fr. 1'250.-- / 30 x 80 %; vgl. auch Urk. 10/7). Auf dieser Grund lage</w:t>
      </w:r>
    </w:p>
    <w:p>
      <w:r>
        <w:t>richtete die Beschwerdegegnerin folgende Corona-Erwerbsersatzentschädi gung en aus:</w:t>
      </w:r>
    </w:p>
    <w:p>
      <w:r>
        <w:t>Fr. 633.30</w:t>
      </w:r>
    </w:p>
    <w:p>
      <w:r>
        <w:t>für den Monat Januar 2021, Fr. 572.-- für den Monat Februar 2021, Fr. 1’108.25 für den Monat März 2021, Fr. 1'072.50 für den Monat April 2021, Fr. 1'108.25 für den Monat Mai 2021,</w:t>
      </w:r>
    </w:p>
    <w:p>
      <w:r>
        <w:t>Fr. 1'072.50 für den Monat Juni 2021, Fr. 1'108.25 für den Monat Juli 2021, Fr. 1'108.25 für den Monat August 2021, Fr. 1'072. 50 für den Monat September 2021, Fr. 1'108.25 für den Monat Oktober 2021, Fr. 1'072.25 für den Monat November 2021 und Fr. 1'108.25 für den Monat Dezember 202 1.</w:t>
      </w:r>
    </w:p>
    <w:p>
      <w:r>
        <w:t>Ausbezahlt wurden die Entschädi gungen an die X.___ GmbH , und zwar jeweils im für den Anspruchsmonat folgenden Monat ( Urk. 10/7 , vgl. auch Urk. 10/4 ) .</w:t>
      </w:r>
    </w:p>
    <w:p>
      <w:r>
        <w:rPr>
          <w:b/>
        </w:rPr>
        <w:t>E. 3.4</w:t>
      </w:r>
    </w:p>
    <w:p>
      <w:r>
        <w:t>Gemäss Revisionsbericht der A.___ AG wurden ab März 2021 weiterhin Lohnzahlungen in der Höhe von Fr. 500.-- monatlich an Z.___ ausbezahlt (Urk. 10/5). Dies ergibt sich auch aus der Buchungs übersic ht respektive dem Kontoblatt der Beschwerde führerin (vgl. Urk. 10/6). Demnach wurde n</w:t>
      </w:r>
    </w:p>
    <w:p>
      <w:r>
        <w:t>Z.___ am 20.</w:t>
      </w:r>
    </w:p>
    <w:p>
      <w:r>
        <w:t>Ja nuar, 1 9. Februar, 19.</w:t>
      </w:r>
    </w:p>
    <w:p>
      <w:r>
        <w:t>März, 20. April, 2 0. Mai, 1 8. Juni und 2 0. Juli 2021 für die Monate Januar bis Juli 2021 jeweils Fr. 500.-- und am 20. Au gust, 2 0. September, 20.</w:t>
      </w:r>
    </w:p>
    <w:p>
      <w:r>
        <w:t>Oktober, 19.</w:t>
      </w:r>
    </w:p>
    <w:p>
      <w:r>
        <w:t>November und 2 0. Dezember 2021 für die Monate August bis Dezember 2021 jeweils Fr. 1'000.-- überwiesen. Sodann ergibt sich aus dem Kontoblatt Löhne/Gehälter, dass am 2 0. August und 1. November 2021 zusätzlich eine Lohnnach zahlung an Z.___ im Betrag von Fr. 2'808.60 (für den Monat August 2021) bzw. Fr. 850.-- (für den Monat November 2021) erfolgte.</w:t>
      </w:r>
    </w:p>
    <w:p>
      <w:r>
        <w:rPr>
          <w:b/>
        </w:rPr>
        <w:t>E. 3.5</w:t>
      </w:r>
    </w:p>
    <w:p>
      <w:r>
        <w:t>Davon ausgehend berechnete die Beschwerdegegnerin i n der Rück for de rungsver fügung das Taggeld für die Monate Januar bis Juli 2021 gestützt auf einem Lohn ausfall von Fr. 750.-- resp. Fr. 250.-- für die Monate September, Oktober und Dezember 2021 und setzte es auf Fr. 20.-- resp. Fr. 7.20 fest (vgl. Urk. 10/4) . Im August und November 2021 erzielte Z.___ einen Lohn von Fr. 3'808.60 resp. Fr. 1'850.--. Folglich hat sie i n diesen Monaten kein en Lohn ausfall erlitten . Soweit die Beschwerdeführerin geltend machte, dass es sich bei den von der Revisionsstelle festgehaltenen Auszahlungen nicht um Löhne, sondern vielmehr um eine Art «Vorschuss» der Covid -Leistungen handelte (Urk. 1, Urk. 13), vermag sie damit nicht durchzu dringen. Die Zahlungen seitens der Beschwerdeführerin erfolgten jeweils in dem Monat, für welchen der Lohn geschuldet war , und damit vor dem Zeitpunkt, an dem der Anspruch auf eine Corona-Erwerbsersatzentschädigung für die einzelnen Monate überhaupt ent stehen konnte . Mithin handelte es sich um Lohnfortzahlungen. Bei einer ver si cherten Person in arbeitgeberähnlicher Stel lung ist entscheidend, ob sie selbst einen Lohn ausfall erlitten hat. Ihr Anspruch auf Corona-Erwerbs ersatz ist subsi diär zur Lohn fort zahlung durch die Arbeitgeberin (BGE 148 V 265 E. 5.3.5).</w:t>
      </w:r>
    </w:p>
    <w:p>
      <w:r>
        <w:t>Weitere Beweismittel wurden keine offeriert. 3. 6</w:t>
      </w:r>
    </w:p>
    <w:p>
      <w:r>
        <w:t>Daraus, dass Z.___ im Jahr 2021 einen geringeren Lohnausfall erlitten hat , folgt, dass die Beschwerdegegnerin der Beschwerdeführerin am 16. Fe bruar 2021, 2. März 2021, 26. Mai 2021, 6. August 2021, 1 5. September 2021, 13. Oktober 2021, 2. November 2021, 2. Dezember 2021 und 6. Januar 2022 offensichtlich zu viel Taggelder ausbezahlt hat. Dieser Leistungsbezug der Be schwerdeführerin war daher unrechtmässig . D ie Voraussetzung für eine Wie dererwägung respektive prozessuale Revision sind erfüllt , weshalb die Beschwer degegnerin von der Beschwerdeführerin die Taggelder in der Höhe von insgesamt Fr. 6‘928.70 gestützt auf Art. 25 Abs. 1 ATSG zurückfordern kann.</w:t>
      </w:r>
    </w:p>
    <w:p>
      <w:r>
        <w:rPr>
          <w:b/>
        </w:rPr>
        <w:t>E. 3.7</w:t>
      </w:r>
    </w:p>
    <w:p>
      <w:r>
        <w:t>Rückforderungspflichtig ist nach Art. 2 Abs. 1 lit . a der Verordnung über den Allgemeinen Teil des Sozialversicherungsrechts (ATSV) der Bezüger oder die Bezügerin der unrechtmässigen Leistungen. Unbestrittenermassen wurde die Erwerbsausfallentschädigung der Beschwerdeführerin als Arbeitgeberin ausbe zahlt (vgl. Urk. 10/7), weshalb sie rückerstattungspflichtig ist. Angesichts dessen ist es ohne Belang und braucht nicht erörtert zu werden, ob sie grundsätzlich überhaupt anspruchsberechtigte Empfängerin der Entschädigungen war (vgl. BGE 148 V 265). 4.</w:t>
      </w:r>
    </w:p>
    <w:p>
      <w:r>
        <w:t>Diese Erwägungen führen zur Abweisung der Beschwerden. Das Gericht erkennt: 1.</w:t>
      </w:r>
    </w:p>
    <w:p>
      <w:r>
        <w:t>Die Beschwerde wird abgewiesen. 2.</w:t>
      </w:r>
    </w:p>
    <w:p>
      <w:r>
        <w:t>Das Verfahren ist kostenlos. 3.</w:t>
      </w:r>
    </w:p>
    <w:p>
      <w:r>
        <w:t>Zustellung gegen Empfangsschein an: - X.___ GmbH - Ausgleichskasse Zürcher Arbeitgeber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Arnold GramignaStadler</w:t>
      </w:r>
    </w:p>
    <w:p>
      <w:r>
        <w:rPr>
          <w:b/>
        </w:rPr>
        <w:t>E. 8</w:t>
      </w:r>
    </w:p>
    <w:p>
      <w:r>
        <w:t>Abs. 5 Covid-19-Verordnung Erwerbsausfall) gemäss Art. 53 ATSG erfüllt sind (BGE 138 V 324 E. 3.1).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Gemäss Abs. 2 kann der Versicherungsträger auf formell rechtskräftige Ver fü gungen oder Einspracheentscheide zurückkommen, wenn diese zweifellos un rich tig sind und wenn ihre Berichtigung von erheblicher Bedeutung ist. Voraus gesetzt ist, dass kein vernünftiger Zweifel an der Unrichtigkeit der Verfügung möglich, also nur dieser einzige Schluss denkbar ist. Dieses Erfordernis ist in der Regel erfüllt, wenn eine Leistungszusprache aufgrund falscher Rechtsregeln er folgt ist oder wenn massgebliche Bestimmungen nicht oder unrichtig angewandt wurden (Urteile des Bundesgerichts 9C_418/2010 vom 2 9. August 2011 E. 3.2 und 9C_575/2007 vom 1 8. Oktober 2007 E. 2.2, je mit Hinweisen).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