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EE.2022.00068 vom 20. Oktober 2022</w:t>
      </w:r>
    </w:p>
    <w:p>
      <w:r>
        <w:t>ZH Sozialversicherungsgericht, 2022-10-20, DE</w:t>
      </w:r>
    </w:p>
    <w:p>
      <w:r>
        <w:rPr>
          <w:b/>
        </w:rPr>
        <w:t xml:space="preserve">Quelle: </w:t>
      </w:r>
      <w:r>
        <w:t>https://mcp.opencaselaw.ch/entscheid/zh_sozialversicherungsgericht_EE.2022.00068</w:t>
      </w:r>
    </w:p>
    <w:p>
      <w:r>
        <w:t>FR: ZH_SOZIALVERSICHERUNGSGERICHT EE.2022.00068 du 20 octobre 2022</w:t>
      </w:r>
    </w:p>
    <w:p>
      <w:r>
        <w:t>IT: ZH_SOZIALVERSICHERUNGSGERICHT EE.2022.00068 del 20 ottobre 2022</w:t>
      </w:r>
    </w:p>
    <w:p>
      <w:pPr>
        <w:pStyle w:val="Heading2"/>
      </w:pPr>
      <w:r>
        <w:t>Erwägungen</w:t>
      </w:r>
    </w:p>
    <w:p>
      <w:r>
        <w:rPr>
          <w:b/>
        </w:rPr>
        <w:t>E. 1</w:t>
      </w:r>
    </w:p>
    <w:p>
      <w:r>
        <w:t>X.___ , geboren 19 72 ( Urk. 7 / 58/1 ), ist Inhaber des seit dem ... April 2005 im Handelsregister des Kantons Zürich eingetragenen Einzelunternehmens Y.___ , Bestandteile &amp; Zubehör, Inhaber X.___</w:t>
      </w:r>
    </w:p>
    <w:p>
      <w:r>
        <w:t>(Internetauszug Handelsregister des Kantons Zürich). Unter dieser Firma</w:t>
      </w:r>
    </w:p>
    <w:p>
      <w:r>
        <w:t>verkauft und repariert er Velos aus eigener Manufaktur sowie gebrauchte Velos, Velobe standteile und zubehör (Urk. 7 / 58/2, Urk. 7/59/1). Er ist der Sozialversiche rungsanstalt des Kantons Zürich, Ausgleich s kasse, als Selbständigerwerbstätiger</w:t>
      </w:r>
    </w:p>
    <w:p>
      <w:r>
        <w:t>angeschlossen ( vgl. Urk. 7/1 ff.). Der Versicherte meldete sich am</w:t>
      </w:r>
    </w:p>
    <w:p>
      <w:r>
        <w:rPr>
          <w:b/>
        </w:rPr>
        <w:t>E. 2</w:t>
      </w:r>
    </w:p>
    <w:p>
      <w:r>
        <w:t>Dagegen erhob X.___ am 27. Juli 2022 Beschwerde (Urk.</w:t>
      </w:r>
    </w:p>
    <w:p>
      <w:r>
        <w:t>1). Er er suchte das Sozialversicherungsgericht um «Beleuchtung und Nachbesserung sämtlicher Aspekte» sowie um eine eingehende Beantwortung seiner Fragen (Urk. 1 S. 4). Die Be schwerdegegnerin beantra gte mit Beschwerdeantwort vom 25 . August 2022 Ab wei sung d er Beschwerde (Urk. 6 , unter Beilage der Kassen akten, Urk. 7/ 1- 200 ), was de m Beschwerdeführer mit Verfügung vom 29. August 2022 ange zeigt wurde (Urk. 8 ).</w:t>
      </w:r>
    </w:p>
    <w:p>
      <w:r>
        <w:rPr>
          <w:b/>
        </w:rPr>
        <w:t>E. 2.1</w:t>
      </w:r>
    </w:p>
    <w:p>
      <w:r>
        <w:t>In zeitlicher Hinsicht sind grundsätzlich diejenigen Rechtssätze massgebend, die bei Erfüllung des rechtlich zu ordnenden oder zu Rechtsfolgen führenden Tat be standes Geltung haben (BGE 146 V 364 E. 7.1, 144 V 210 E. 4.3.1, je mit Hinwei sen). Das Sozialversicherungsgericht stellt bei der Beurteilung eines Falles grundsätzlich auf den bis zum Zeitpunkt des Er lasses der streitigen Verfügung beziehungsweise des streitigen Einspracheent scheids eingetretenen Sachverhalt ab (BGE 144 V 210 E. 4.3.1, 132 V 215 E. 3.1.1; s. a. im Speziellen für die Corona- Erwerbs ausfallsentschädigung: BGE 148 V 162 E. 3.2.1) .</w:t>
      </w:r>
    </w:p>
    <w:p>
      <w:r>
        <w:rPr>
          <w:b/>
        </w:rPr>
        <w:t>E. 2.2</w:t>
      </w:r>
    </w:p>
    <w:p>
      <w:r>
        <w:t>Art. 15 des Bundesgesetzes über die gesetzlichen Grundlagen für Verordnungen des Bundesrates zur Bewältigung der Covid-19-Epidemie (Covid-19-Gesetz) vom 25. September 2020 ist rückwirkend auf den 17. September 2020 in Kraft getreten (Art. 21 Abs. 3 Covid-19-Gesetz).</w:t>
      </w:r>
    </w:p>
    <w:p>
      <w:r>
        <w:t>Gemäss Art. 15 Abs. 1 Covid-19-Gesetz</w:t>
      </w:r>
    </w:p>
    <w:p>
      <w:r>
        <w:t>kann der Bundesrat die Ausrichtung von Entschädigungen des Erwerbsausfalls bei Personen vorsehen, die ihre Erwerbs tä tigkeit aufgrund von Massnahmen im Zusammenhang mit der Bewältigung der Covid-19-Epidemie unterbrechen oder massgeblich einschränken müssen. Nur Personen mit einem Erwerbs- oder Lohnausfall, die i n ihrer Unternehmung eine Umsat zeinbusse von mindestens 30 Prozent (in der vorliegend anwendbaren</w:t>
      </w:r>
    </w:p>
    <w:p>
      <w:r>
        <w:t>ab 1. April 2021 gültigen Fassung) im Vergleich zum durchschnittlichen Umsatz in den Jahren 2015 - 2019 haben, gelten in ihrer Erwerbst ätig keit als massgeblich einge schränkt.</w:t>
      </w:r>
    </w:p>
    <w:p>
      <w:r>
        <w:t>Zu den Anspruchsberechtigten gehören insbesondere auch Selbständige nach Art. 12 des Bundesgesetzes über den Allgemeinen Teil des Sozialversicherungs rechts (ATSG) sowie Personen in arbeitgeberähnlicher Stellung (Art. 15 Abs. 2</w:t>
      </w:r>
    </w:p>
    <w:p>
      <w:r>
        <w:t>Covid-19-Gesetz ) .</w:t>
      </w:r>
    </w:p>
    <w:p>
      <w:r>
        <w:t>Gemäss Art. 15 Abs. 3 Covid-19-Gesetz</w:t>
      </w:r>
    </w:p>
    <w:p>
      <w:r>
        <w:t>kann der Bundesrat Bestimmungen er lassen über: a. die anspruchsberechtigten Personen und insbesondere den Taggeldanspruch von besonders gefährdeten Personen; b. den Beginn und das Ende des Anspruchs auf Entschädigung; c. die Höchstmenge an Taggeldern; d. die Höhe und die Bemessung der Entschädigung; e. das Verfahren.</w:t>
      </w:r>
    </w:p>
    <w:p>
      <w:r>
        <w:t>Der Bundesrat stellt sicher, dass Entschädigungen auf der Grundlage des selbst deklarierten Erwerbsausfalls ausgerichtet werden. Die Richtigkeit der An gaben wird insbesondere mittels Stichproben überprüft (Art. 15 Abs. 4</w:t>
      </w:r>
    </w:p>
    <w:p>
      <w:r>
        <w:t>Covid-19-Ge setz ) .</w:t>
      </w:r>
    </w:p>
    <w:p>
      <w:r>
        <w:t>Der Bundesrat kann die Bestimmungen des ATSG anwendbar erklären. Er kann Abweichungen von Artikel 24 Abs. 1 ATSG betreffend das Erlöschen des Anspruchs und Artikel 49 Abs. 1 ATSG betreffend die Anwendbarkeit des formlosen Verfahrens vorsehen (Art. 15 Abs. 5</w:t>
      </w:r>
    </w:p>
    <w:p>
      <w:r>
        <w:t>Covid-19-Gesetz ) .</w:t>
      </w:r>
    </w:p>
    <w:p>
      <w:r>
        <w:rPr>
          <w:b/>
        </w:rPr>
        <w:t>E. 2.3</w:t>
      </w:r>
    </w:p>
    <w:p>
      <w:r>
        <w:t>Gestützt auf Art. 15 Covid-19-Gesetz hat der Bundesrat die vorliegend anwend bare Version der Covid-19-Verordnung Erwerbsausfall (in der vom 17. September 2020 bis 16. Februar 2022 gültig gewesenen Fassung mit zahlreichen Änderun gen) erlassen.</w:t>
      </w:r>
    </w:p>
    <w:p>
      <w:r>
        <w:t>Gemäss</w:t>
      </w:r>
    </w:p>
    <w:p>
      <w:r>
        <w:t>Art. 2 Abs.</w:t>
      </w:r>
    </w:p>
    <w:p>
      <w:r>
        <w:rPr>
          <w:b/>
        </w:rPr>
        <w:t>E. 3</w:t>
      </w:r>
    </w:p>
    <w:p>
      <w:r>
        <w:t>Zustellung gegen Empfangsschein an: - X.___ - Sozialversicherungsanstalt des Kantons Zürich, Ausgleichskasse - Bundesamt für Sozialversicherungen</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