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EE.2022.00039 vom 26. September 2022</w:t>
      </w:r>
    </w:p>
    <w:p>
      <w:r>
        <w:t>ZH Sozialversicherungsgericht, 2022-09-26, DE</w:t>
      </w:r>
    </w:p>
    <w:p>
      <w:r>
        <w:rPr>
          <w:b/>
        </w:rPr>
        <w:t xml:space="preserve">Quelle: </w:t>
      </w:r>
      <w:r>
        <w:t>https://mcp.opencaselaw.ch/entscheid/zh_sozialversicherungsgericht_EE.2022.00039</w:t>
      </w:r>
    </w:p>
    <w:p>
      <w:r>
        <w:t>FR: ZH_SOZIALVERSICHERUNGSGERICHT EE.2022.00039 du 26 septembre 2022</w:t>
      </w:r>
    </w:p>
    <w:p>
      <w:r>
        <w:t>IT: ZH_SOZIALVERSICHERUNGSGERICHT EE.2022.00039 del 26 settembre 2022</w:t>
      </w:r>
    </w:p>
    <w:p>
      <w:pPr>
        <w:pStyle w:val="Heading2"/>
      </w:pPr>
      <w:r>
        <w:t>Erwägungen</w:t>
      </w:r>
    </w:p>
    <w:p>
      <w:r>
        <w:rPr>
          <w:b/>
        </w:rPr>
        <w:t>E. 1</w:t>
      </w:r>
    </w:p>
    <w:p>
      <w:r>
        <w:t>Die Sozialversicherungsanstalt des Kantons Zürich, Ausgleichskasse, richtete X.___ vom 17. März bis am 31. Oktober 2020 (Urk. 6/27, Urk. 6/28, Urk. 6/30, Urk. 6/31, U r k. 6/32, Urk. 6/34, Urk. 6/39) eine Entschä d igung gestützt auf die Verordnung über Massnahmen bei Erwerbsausfall im Zusammenhang mit dem Coronavirus (Covid-19; Covid-19-Verordnung Erwerbsausfall) aus . Nachdem die Au s gleichskasse in der Folge mit Verfügung vom 16. Dezember 2020 (Urk. 6/38) einen Anspruch von X.___</w:t>
      </w:r>
    </w:p>
    <w:p>
      <w:r>
        <w:t>v erneint hatte, richtete sie ihm vom 1. Januar bis am 30. September 2021 (Urk. 6/43, Urk. 6/51, Urk. 6/54, Urk. 6/57, Urk. 6/62, Urk. 6/71, Urk. 6/75, Urk. 6/78) wie der eine Entschädigung aus. Mit Verfügung vom 16. November 2021 verneinte die Ausgleichskasse einen Anspruch von X.___ auf eine Entschädigung für Oktober 2021 (Urk. 6/81). Dagegen erhob dieser am 19. November 2021 Einsprache (Ur k. 6/82). Mit Verfügung vom 21. Dezember 2021 (Urk. 6/87) wies die Ausgleichskasse das von X.___ für November 2021 gestellte Leistungsbegehren ab (Urk. 6/84) . Am 10. Januar 2022 sprach die Ausgleichskasse</w:t>
      </w:r>
    </w:p>
    <w:p>
      <w:r>
        <w:t>X.___ für Oktober 2021 eine Entschädigung zu (Urk. 6/90) und schrieb die gegen die Ve rfügu ng vom 16. November 2021 erho bene Einsprache als gegenstandslos geworden ab (U r k. 6/88). Mit Eingabe vom 1. März 2022 erhob X.___ Einsprache gegen die Verfügung vom 21 .</w:t>
      </w:r>
    </w:p>
    <w:p>
      <w:r>
        <w:t>Dezember 2021 betreffend Anspruch für November 2021 (U r k. 6/100). Die Ausgleichskasse trat m it Ei nspracheentscheid</w:t>
      </w:r>
    </w:p>
    <w:p>
      <w:r>
        <w:t>vom 28. April 2022 auf die Ein sprache nicht ein (Urk. 2) .</w:t>
      </w:r>
    </w:p>
    <w:p>
      <w:r>
        <w:rPr>
          <w:b/>
        </w:rPr>
        <w:t>E. 2</w:t>
      </w:r>
    </w:p>
    <w:p>
      <w:r>
        <w:t>Dagegen erhob X.___ mit Eingabe vom 21. Mai 2022 Beschwerde und beantragte die Ausrichtung einer Corona-Erwerbsersatzentschädigung für November 2021 (Urk. 1). Die Beschwerdegegnerin beantragte mit Beschwerdeant wort vom 23. Juni 2022 die Abweisung der Beschwerde (Urk. 5), was dem Beschwerdeführer mit Verfügung vom 28. Juni 2022 angezeigt wurden (Urk. 7).</w:t>
      </w:r>
    </w:p>
    <w:p>
      <w:r>
        <w:rPr>
          <w:b/>
        </w:rPr>
        <w:t>E. 3</w:t>
      </w:r>
    </w:p>
    <w:p>
      <w:r>
        <w:t>Auf die Vorbringen der Parteien und die eingereichten Akten wird, soweit erfor derlich, im Rahmen der nachfolgenden Erwägungen eingegan g 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