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EE.2021.00001 vom 1. April 2022</w:t>
      </w:r>
    </w:p>
    <w:p>
      <w:r>
        <w:t>ZH Sozialversicherungsgericht, 2022-04-01, DE</w:t>
      </w:r>
    </w:p>
    <w:p>
      <w:r>
        <w:rPr>
          <w:b/>
        </w:rPr>
        <w:t xml:space="preserve">Quelle: </w:t>
      </w:r>
      <w:r>
        <w:t>https://mcp.opencaselaw.ch/entscheid/zh_sozialversicherungsgericht_EE.2021.00001</w:t>
      </w:r>
    </w:p>
    <w:p>
      <w:r>
        <w:t>FR: ZH_SOZIALVERSICHERUNGSGERICHT EE.2021.00001 du 1 avril 2022</w:t>
      </w:r>
    </w:p>
    <w:p>
      <w:r>
        <w:t>IT: ZH_SOZIALVERSICHERUNGSGERICHT EE.2021.00001 del 1 aprile 2022</w:t>
      </w:r>
    </w:p>
    <w:p>
      <w:pPr>
        <w:pStyle w:val="Heading2"/>
      </w:pPr>
      <w:r>
        <w:t>Erwägungen</w:t>
      </w:r>
    </w:p>
    <w:p>
      <w:r>
        <w:rPr>
          <w:b/>
        </w:rPr>
        <w:t>E. 1</w:t>
      </w:r>
    </w:p>
    <w:p>
      <w:r>
        <w:t>). Mit Schreiben vom 2 3. Januar 2020 teilte diese mit, für die Beurtei lung des Beitragsstatus im Bereich des Transportgewerbes sei die Suva zuständig. Diese stufe Y.___-Fahrer als unselbständig Erwerbstätige ein. Diesbezüglich sei ein Gerichtsverfahren anhängig; bis zum Abschluss des Gerichtsverfahrens werde die Anmeldung sistiert ( Urk. 12/2). Am 1 6. April 2020 wies die Ausgleichskasse das Gesuch von X.___</w:t>
      </w:r>
    </w:p>
    <w:p>
      <w:r>
        <w:t>um Regist r ierung als Selbständigerwerbender</w:t>
      </w:r>
    </w:p>
    <w:p>
      <w:r>
        <w:t>unter Hinweis auf die Qua lifikation von Y.___-Fahrer n als U nselbständigerwerbende durch die Suva ab ( Urk. 12/3 , vgl. auch Urk. 12/2 ). Am 31. August 2020 (Eingangsdatum) meldete sich dieser bei der Ausgleichskasse für den Bezug einer Erwerbsausfallentschädigung gestützt auf die Verordnung über Massnahmen bei Erwerbsausfall im Zusammenhang mit dem Coronavirus (C ovid -19-Verordnung Erwerbsausfall) an (Urk. 12/6 ). Mit Verfügung vom 14. Oktober 2020 verneinte die Ausgleichskasse einen Anspruch auf Cor ona-Erwerbsausfallentschädigung, weil X.___ keine selbständige Erwerbstätigkeit ausübe (Urk. 12/7). Die am 12. November 2020</w:t>
      </w:r>
    </w:p>
    <w:p>
      <w:r>
        <w:t>von diesem dagegen erhobene Einsprache (Urk. 12/9 ) wies die Ausgleichskasse mit E insprachee nt scheid vom 26. November 2020 (Urk. 2) ab.</w:t>
      </w:r>
    </w:p>
    <w:p>
      <w:r>
        <w:rPr>
          <w:b/>
        </w:rPr>
        <w:t>E. 1.1</w:t>
      </w:r>
    </w:p>
    <w:p>
      <w:r>
        <w:t>Nach Art. 185 Abs. 3 der Bundesverfassung (BV) kann der Bundesrat Verord nun gen und Verfügungen erlassen, um eingetretenen oder unmittelbar drohen den schweren Störungen der öffentlichen Ordnung oder der inneren oder äusseren Sicherheit zu begegnen. Solche Verordnungen sind zu befristen (und zwar auf [maximal] sechs Monate, vgl. Art. 7d Abs. 2 lit.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Zusammenhang mit dem Coronavirus (Covid-19-Verordnung Erwerbsausfall). Die Covid-19-Verordnung Erwerbsaus fall wurde rückwirkend per 17. März 2020 in Kraft und erfuhr in der Folge mehrere Änderungen.</w:t>
      </w:r>
    </w:p>
    <w:p>
      <w:r>
        <w:t>Mit dem Bundesgesetz über die gesetzlichen Grundlagen für Verordnungen des Bundesrates zur Bewältigung der Covid-19-Epidemie vom 25. September 2020 (Covid-19-Gesetz) wurde rückwirkend per 17. September 2020 eine gesetzliche Grundlage für die Covid-19-Verordnung</w:t>
      </w:r>
    </w:p>
    <w:p>
      <w:r>
        <w:t>Erwerbsausfall geschaffen (Art. 15 in Verbindung mit Art. 21 Abs. 3 Covid-19-Gesetz).</w:t>
      </w:r>
    </w:p>
    <w:p>
      <w:r>
        <w:rPr>
          <w:b/>
        </w:rPr>
        <w:t>E. 1.2</w:t>
      </w:r>
    </w:p>
    <w:p>
      <w:r>
        <w:t>1.</w:t>
      </w:r>
    </w:p>
    <w:p>
      <w:r>
        <w:rPr>
          <w:b/>
        </w:rPr>
        <w:t>E. 2</w:t>
      </w:r>
    </w:p>
    <w:p>
      <w:r>
        <w:t>.2</w:t>
      </w:r>
    </w:p>
    <w:p>
      <w:r>
        <w:t>Nach Art. 2 Abs. 3 bis Satz 1 der Covid-19-Verordnung Erwerbsausfall in der bis am 16. September 2020 gültig gewesenen Fassung sind Selbständigerwerbende im Sinne von Art. 12 ATSG anspruchs be rechtig t, wenn sie aufgrund der bundes rätlichen</w:t>
      </w:r>
    </w:p>
    <w:p>
      <w:r>
        <w:t>Massnahmen zur Bekämpfung des Coronavirus , obwohl sie nicht zur Schliess ung des Betriebs ver pflichtet oder direkt vom Veranstaltungsverbot betroffen waren, einen Erwerb sausfall erleiden und ihr für die Bemessung der Beiträge der AHV massgebendes Einkommen für das Jahr 2019 zwischen Fr. 10‘000.-- und Fr. 90‘000.-- liegt (sogenannte Härte fallregelung) . 1.</w:t>
      </w:r>
    </w:p>
    <w:p>
      <w:r>
        <w:rPr>
          <w:b/>
        </w:rPr>
        <w:t>E. 2.1</w:t>
      </w:r>
    </w:p>
    <w:p>
      <w:r>
        <w:t>Im angefochtenen Entscheid erwog die Beschwerdegegnerin, der Beschwerdefüh rer gelte nicht als selbständigerwerbend im Sinne von Art. 12 ATSG . Gemäss Rz . 1024 f. der KS CE müsse eine betroffene Person bei der Ausgleichskasse als selbständigerwerbende Person angeschlossen sein, damit sie Anspruch auf Corona-Erwerbsersatzentschädigung habe. Vorliegend habe der Beschwerdefüh rer m angels selbständiger Erwerbstätigkeit keinen Anspruch auf Corona-E rwerbs ersatzentschädigung ( Urk. 2).</w:t>
      </w:r>
    </w:p>
    <w:p>
      <w:r>
        <w:rPr>
          <w:b/>
        </w:rPr>
        <w:t>E. 2.2</w:t>
      </w:r>
    </w:p>
    <w:p>
      <w:r>
        <w:t>Dagegen wandte der Beschwerdeführer ein, es gebe keine generellen Abgren zungskriterien zwischen der selbständigen und unselbständigen Erwerbstätigkeit. Vielmehr müsse eine Interessenabwägung im Einzelfall vorgenommen werden. Die Rechtsbeziehung zwischen der Plattform Y.___ und ihren Nutzern sei n och nicht erstellt. Es gebe nam hafte Stimmen, gemäss welchen Y.___ kein Arbeitgeber sei. Zudem ergebe sich aus</w:t>
      </w:r>
    </w:p>
    <w:p>
      <w:r>
        <w:t>KS CE</w:t>
      </w:r>
    </w:p>
    <w:p>
      <w:r>
        <w:t>R z . 1024 f. lediglich, dass ein Anschluss bei der Ausgleichskasse ausreichend sei. Dies bedeute indes nicht, dass ein Anspruch unter anderen Konstellationen ausgeschlossen sei. Es sei höchstrichterlich noch nicht darüber entschieden worden, wie Y.___-Fahrer arbeits- und sozialversiche rungsrechtlich zu qualifizieren seien. Dennoch habe</w:t>
      </w:r>
    </w:p>
    <w:p>
      <w:r>
        <w:t>die Beschwerdegegnerin das anfänglich sistierte Verfahren weitergeführt und sich bei dieser unklaren Rechts frage auf eine provisorische Beurteilung der Suva gestützt, wonach Y.___-Fahrer nicht als selbständigerwer bend zu qualifizieren seien. Es werde häufig argumen tiert, dass die Y.___-Fahrer geschützt werden müssten. Dabei werde nicht überlegt, dass einerseits gerade die Rechtsunsicherheit eine unzumutbare Situation sei. Grundsätzlich müsste also entweder der Standpunkt vertreten werde n , dass Y.___-Fahrer vorübergehend als selbständig oder eben unselbständig gelten würden . Diese Beurteilung müsse mit Blick auf die Kohärenz der Rechtsordnung einheit lich sein. Zudem müsse eine Übergangslösung gefunden werden, damit keine Staatshaftung geprüft werden müsse in Bezug auf die zurückgewiesenen Pflichten. Es sei auch rechtsmissbräuchlich, wenn die Beschwerdegegnerin das Verfahren vorerst mit der Begründung sistiert habe , ein kantonal letztinstanz licher resp. höchstrichterlicher Entscheid sei ausstehend und anschliessend eine Ablehnung befunden habe, obwohl bis zu diesem Zeitpunkt kein Bundesgerichts entscheid ergangen sei. Eine solche Aberkennung der selbständigen Erwerbs tätigkeit von Y.___-Fahrer n erscheine</w:t>
      </w:r>
    </w:p>
    <w:p>
      <w:r>
        <w:t>willkürlich. Zudem habe die Beschwerdegeg nerin dem Beschwerdeführer bis dato keine Akteneinsicht gewährt und damit das rechtliche Gehör verletzt . Insbesondere könne nicht beurteilt werden, ob die Beschwerdegegnerin ihrer Untersuchungspflicht hinreichend nachgekommen sei ( Urk. 1) .</w:t>
      </w:r>
    </w:p>
    <w:p>
      <w:r>
        <w:t>Mit Eingabe vom 1 1. März 2021 teilte der Beschwerdeführer mit, er habe sich inzwischen für den Bezug einer Kurzarbeitsentschädigung angemeldet. Die Arbeitslosenversicherung habe einen entsprechenden Antrag abgelehnt. Mangels Vereinbarung mit dem Arbeitgeber (mit Sitz im Ausland, in einem EU-/EFTA-Staat: Z.___ ) könnten Y.___-Fahrer auch nicht analog der Regelung bei sog. ANOBAG, wonach der Arbeitnehmer die Sozialversicherungsbeiträge selber abrechnen könne, einen Antrag auf Kurzarbeitsentschädigung stellen. Dies sei im vorliegenden Verfahren zu berücksichtigen. Insbesondere sei ein analoger Anspruch auf Erwerbsersatzentschädigung zu prüfen ( Urk. 14, Urk. 15/1-2). 3.</w:t>
      </w:r>
    </w:p>
    <w:p>
      <w:r>
        <w:rPr>
          <w:b/>
        </w:rPr>
        <w:t>E. 3</w:t>
      </w:r>
    </w:p>
    <w:p>
      <w:r>
        <w:t>.2</w:t>
      </w:r>
    </w:p>
    <w:p>
      <w:r>
        <w:t>Selbständige Erwerbstätigkeit liegt im Regelfall dann vor, wenn die beitrags 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 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 keit. Das spezifische Unternehmerrisiko besteht dabei darin, dass unabhängig vom Arbeitserfolg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gebenden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 erwer 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 weils unter Würdigung der gesamten Umstände des Einzelfalls zu geschehen hat. Entscheidend ist dabei, ob geleistete Arbeit, ein Unterordnungsverhältnis und die Vereinbarung eines Lohnanspruchs in irgendeiner Form vorliegen (Urteil des Bundesgerichts 8C_790/2018 vom 8. Mai 2019 E. 3.2 mit Hinweis). 1.</w:t>
      </w:r>
    </w:p>
    <w:p>
      <w:r>
        <w:rPr>
          <w:b/>
        </w:rPr>
        <w:t>E. 3.1</w:t>
      </w:r>
    </w:p>
    <w:p>
      <w:r>
        <w:t>Fest steht zunächst , dass ein 2019 erfolgter Antrag des Beschwerdeführers um Anschluss bei der Ausgleichskasse als selbständigerwerbender</w:t>
      </w:r>
    </w:p>
    <w:p>
      <w:r>
        <w:t>Y.___-Fahrer (Urk. 12/1)</w:t>
      </w:r>
    </w:p>
    <w:p>
      <w:r>
        <w:t>mangels selbständige r Erwerbstätigkeit im April 2020</w:t>
      </w:r>
    </w:p>
    <w:p>
      <w:r>
        <w:t>abgelehnt ( Urk. 12/3) und der Beschwerdeführer seither als unselbständigerwerbend einge stuft wurde (vgl. Nachzahlungsverfügung vom 1 8. Dezember 2020, Urk. 12/12).</w:t>
      </w:r>
    </w:p>
    <w:p>
      <w:r>
        <w:t>D ass die Beschwerdegegnerin</w:t>
      </w:r>
    </w:p>
    <w:p>
      <w:r>
        <w:t>den Antrag des Beschwerdeführers – entgegen der anderslautenden Information im Sistierungsschreiben vom 2 3. Januar 2020 (Urk. 12/2) - noch vor den Entscheiden des hiesigen Gerichts zur sozialversiche rungsrechtlichen Qualifikation von Y.___-Fahrer n (vgl. nachfolgend E. 3.2) abgelehnt hat , ist nicht zu beanstanden . Insbesondere war das Interesse des Beschwerdeführers an einem raschen – wenn auch möglicherweise lediglich vorübergehenden - Entscheid höher zu gewichten. Der Beschwerdeführer hat die Rechtsunsicherheit für Y.___-Fahrer beschwerdeweise denn auch selbst gerügt ( Urk. 1 Ziff. 30). Von einer willkürlichen oder gar rechtsmissbräuchlichen Vorgehensweise kann vorliegend ebenfalls nicht die Rede sein (vgl. Urk. 1 Ziff. 34 f.).</w:t>
      </w:r>
    </w:p>
    <w:p>
      <w:r>
        <w:rPr>
          <w:b/>
        </w:rPr>
        <w:t>E. 3.2</w:t>
      </w:r>
    </w:p>
    <w:p>
      <w:r>
        <w:t>Das Sozialversicherungsgericht des Kantons Zürich kam in den Verfahren UV.2020.00006, UV.2020.00015, UV.2020.00022, UV.2020.00118 sowie AB.2020.00038-45 m it Urteilen vom 20. Dezember 2021 zusammenfassend zum Schluss, dass die Vertragsbeziehungen zwischen der Y.___ B.V. respektive der A.___ B.V., beides Gesellschaften mit Sitz in Z.___ , und den Fahrern zwar Elemente aufweisen, welche für eine selbständige Erwerbs tätigkeit sprechen, so etwa die zeitliche Flexibilität bei der Arbeitsverrichtung und die Möglichkeit, konkurrenzierende Tätigkeiten auszuüben, etw a für andere Gesellschaften. Der</w:t>
      </w:r>
    </w:p>
    <w:p>
      <w:r>
        <w:t>Schwerpunkt der gewichteten Gesichtspunkte sp reche indes eindeutig für eine unselbstän dige Erwerbstätigkeit. Im Vordergrund stünden dabei die entscheidenden Aspekte eines faktischen Weisungsrechts</w:t>
      </w:r>
    </w:p>
    <w:p>
      <w:r>
        <w:t>der Y.___ B.V. und der A.___ B.V. , ein ausgeprägtes Subordinati onsverhältnis sowie ein wirtschaftliches und rechtliches Abhängigkeitsverhältnis</w:t>
      </w:r>
    </w:p>
    <w:p>
      <w:r>
        <w:t>zwischen den Fahrern und der Y.___ B.V. resp.</w:t>
      </w:r>
    </w:p>
    <w:p>
      <w:r>
        <w:t>A.___ B.V ., d as Fehlen von erheb lichen Investitionen , die fehlende Ak quise von Fahrgästen durch die Y.___-Fahrer sowie schliesslich der U mstand, dass</w:t>
      </w:r>
    </w:p>
    <w:p>
      <w:r>
        <w:t>letztere (insbesondere aus Sicht des Publi kums) weder in eigenem Namen noch auf eigene Rechnung handel te n.</w:t>
      </w:r>
    </w:p>
    <w:p>
      <w:r>
        <w:rPr>
          <w:b/>
        </w:rPr>
        <w:t>E. 3.3</w:t>
      </w:r>
    </w:p>
    <w:p>
      <w:r>
        <w:t>Mithin ist der</w:t>
      </w:r>
    </w:p>
    <w:p>
      <w:r>
        <w:t>als Y.___-Fahrer tätige Beschwerdeführer als u nselbständigerwerbend</w:t>
      </w:r>
    </w:p>
    <w:p>
      <w:r>
        <w:t>zu qualifizier e n und infolgedessen nicht zu beanstanden, wenn die Beschwerde gegnerin einen Anspruch auf Corona-Erwerbsersatzentschädigung gestützt auf die Covid-19-Verordnung Erwerbsausfall verneinte.</w:t>
      </w:r>
    </w:p>
    <w:p>
      <w:r>
        <w:t>Da der Beschwerdeführer grundsätzlich der Arbeitslosenversicherung untersteht (vgl. Art. 3 Abs. 3 zweiter Satz Bundesgesetz über die obligatorische Arbeitslosenversicherung und d ie Insolvenzentschädigung, AVIG ) und Arbeits losenent schädigung beantragen kann, bleibt – entgegen seinem Dafürhalten (vgl. Urk. 14) - auch kein Raum für eine analoge Anwendung der Covid-19-Verordnung Erwerbsausfall ;</w:t>
      </w:r>
    </w:p>
    <w:p>
      <w:r>
        <w:t>g emäss Art. 2 Abs. 4 der Covid-19-Verordnung Erwerbsausfall ist die Entschädigung subsidiär zu sämtlichen Leistungen von Sozialversicherungen und Versicherungen nach dem Versicherungsvertrags gesetz vom 2. April 1908 sowie zu Lohnfortzahlungen von Arbeitgebern.</w:t>
      </w:r>
    </w:p>
    <w:p>
      <w:r>
        <w:t>Soweit der Beschwerdeführer schliesslich eine Gehörsver letzung geltend macht, ist nicht ersichtlich und hat er auch nicht plausibilisiert , inwiefern der angefoch tene Entscheid zu</w:t>
      </w:r>
    </w:p>
    <w:p>
      <w:r>
        <w:t>beanstanden wäre. Der Vollständigkeit halber bleibt jedenfalls festzuhalten, dass d er Beschwerdeführer den Entscheid sachgerecht anzufechten vermochte und er</w:t>
      </w:r>
    </w:p>
    <w:p>
      <w:r>
        <w:t>sein Anliegen vor einer Beschwerdeinstanz, die sowohl den Sachverhalt als auch die Rechtslage frei überprüft, vortragen konnte (vgl. BGE 127 V 431 E. 3d/ aa S. 437).</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