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BV.2025.00044 vom 24. Juli 2025</w:t>
      </w:r>
    </w:p>
    <w:p>
      <w:r>
        <w:t>ZH Sozialversicherungsgericht, 2025-07-24, DE</w:t>
      </w:r>
    </w:p>
    <w:p>
      <w:r>
        <w:rPr>
          <w:b/>
        </w:rPr>
        <w:t xml:space="preserve">Quelle: </w:t>
      </w:r>
      <w:r>
        <w:t>https://mcp.opencaselaw.ch/entscheid/zh_sozialversicherungsgericht_BV.2025.00044</w:t>
      </w:r>
    </w:p>
    <w:p>
      <w:r>
        <w:t>FR: ZH_SOZIALVERSICHERUNGSGERICHT BV.2025.00044 du 24 juillet 2025</w:t>
      </w:r>
    </w:p>
    <w:p>
      <w:r>
        <w:t>IT: ZH_SOZIALVERSICHERUNGSGERICHT BV.2025.00044 del 24 luglio 2025</w:t>
      </w:r>
    </w:p>
    <w:p>
      <w:pPr>
        <w:pStyle w:val="Heading2"/>
      </w:pPr>
      <w:r>
        <w:t>Erwägungen</w:t>
      </w:r>
    </w:p>
    <w:p>
      <w:r>
        <w:rPr>
          <w:b/>
        </w:rPr>
        <w:t>E. 3</w:t>
      </w:r>
    </w:p>
    <w:p>
      <w:r>
        <w:t>1. Januar 2024 auflöste (Schreiben vom 15 . Dezember 2023 , Urk. 2/ 18 ), dass der Arbeitgeber der Vorsorgeeinrichtung die gesamten Beiträge schuldet (Art. 66 Abs. 2 Satz 1 des Bundesgesetzes über die berufliche Alters-, Hinter lassenen- und Invalidenvorsorge, BVG), dass die im vorliegenden Verfahren säumige Beklagte – soweit ersichtlich und abgesehen vom ohne Begründung erhobenen Rechtsvorschlag ( Urk. 2/2 1 ) – auch vor- beziehungsweise ausserprozessual den Bestand und/oder die Höhe der einge klagten Forderung nicht in Zweifel gezogen hat, dass die Klägerin einen Ausstand in Höhe von Fr. 80'826.70 zuzüglich Zins von 5 % seit dem</w:t>
      </w:r>
    </w:p>
    <w:p>
      <w:r>
        <w:rPr>
          <w:b/>
        </w:rPr>
        <w:t>E. 7</w:t>
      </w:r>
    </w:p>
    <w:p>
      <w:r>
        <w:t>. Mai</w:t>
      </w:r>
    </w:p>
    <w:p>
      <w:r>
        <w:t>20 2 4 zuzüglich Fr.</w:t>
      </w:r>
    </w:p>
    <w:p>
      <w:r>
        <w:rPr>
          <w:b/>
        </w:rPr>
        <w:t>E. 8</w:t>
      </w:r>
    </w:p>
    <w:p>
      <w:r>
        <w:t>00.-- Bearbeitungsgebühren in Betreibung gesetzt hat (Zahlungsbefehl vom</w:t>
      </w:r>
    </w:p>
    <w:p>
      <w:r>
        <w:rPr>
          <w:b/>
        </w:rPr>
        <w:t>E. 13</w:t>
      </w:r>
    </w:p>
    <w:p>
      <w:r>
        <w:t>Mai 2024 ) in diesem Umfang aufgehoben. 2.</w:t>
      </w:r>
    </w:p>
    <w:p>
      <w:r>
        <w:t>Die Gerichtskosten von Fr. 1’500 .-- werden der Beklagten auferlegt.</w:t>
      </w:r>
    </w:p>
    <w:p>
      <w:r>
        <w:t>Rechnung und Ein zahlungsschein werden der Kostenpflichtigen nach Eintritt der Rechtskraft zuge stellt. 3.</w:t>
      </w:r>
    </w:p>
    <w:p>
      <w:r>
        <w:t>Die Beklagte wird verpflichtet, der Klägerin eine Parteientschädigung von Fr. 500 .-- (inkl. Barauslagen und MWST) zu bezahlen. 4.</w:t>
      </w:r>
    </w:p>
    <w:p>
      <w:r>
        <w:t>Zustellung gegen Empfangsschein an: - AXA Leben AG - X.___ AG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FehrSonderegger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