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BV.2025.00006 vom 20. Februar 2025</w:t>
      </w:r>
    </w:p>
    <w:p>
      <w:r>
        <w:t>ZH Sozialversicherungsgericht, 2025-02-20, DE</w:t>
      </w:r>
    </w:p>
    <w:p>
      <w:r>
        <w:rPr>
          <w:b/>
        </w:rPr>
        <w:t xml:space="preserve">Quelle: </w:t>
      </w:r>
      <w:r>
        <w:t>https://mcp.opencaselaw.ch/entscheid/zh_sozialversicherungsgericht_BV.2025.00006</w:t>
      </w:r>
    </w:p>
    <w:p>
      <w:r>
        <w:t>FR: ZH_SOZIALVERSICHERUNGSGERICHT BV.2025.00006 du 20 février 2025</w:t>
      </w:r>
    </w:p>
    <w:p>
      <w:r>
        <w:t>IT: ZH_SOZIALVERSICHERUNGSGERICHT BV.2025.00006 del 20 febbraio 2025</w:t>
      </w:r>
    </w:p>
    <w:p>
      <w:pPr>
        <w:pStyle w:val="Heading2"/>
      </w:pPr>
      <w:r>
        <w:t>Erwägungen</w:t>
      </w:r>
    </w:p>
    <w:p>
      <w:r>
        <w:rPr>
          <w:b/>
        </w:rPr>
        <w:t>E. 1</w:t>
      </w:r>
    </w:p>
    <w:p>
      <w:r>
        <w:t>Die Y.___ AG</w:t>
      </w:r>
    </w:p>
    <w:p>
      <w:r>
        <w:t>mit Sitz in Z.___</w:t>
      </w:r>
    </w:p>
    <w:p>
      <w:r>
        <w:t>schloss sich zwecks Durchführung der beruflichen Vor sorge mit Anschlussvertrag Nr. «…» vom 22. März 2022 res pektive 17. April 2022 per 3. Januar 2022 rückwirkend der Tellco pk (vormals pensionskasse A.___ , vgl. Urk. 2/</w:t>
      </w:r>
    </w:p>
    <w:p>
      <w:r>
        <w:rPr>
          <w:b/>
        </w:rPr>
        <w:t>E. 1.1</w:t>
      </w:r>
    </w:p>
    <w:p>
      <w:r>
        <w:t>Gemäss Art. 66 Abs. 2 des Bundesgesetzes über die berufliche Alters-, Hinter las se nen- und Invalidenvorsorge (BVG) schuldet der Arbeitgeber der Vorsorgeein richtung die gesamten Beiträge. Für nicht rechtzeitig bezahlte Beiträge kann die Vor sorgeeinrichtung Verzugszinsen verlangen.</w:t>
      </w:r>
    </w:p>
    <w:p>
      <w:r>
        <w:rPr>
          <w:b/>
        </w:rPr>
        <w:t>E. 1.2</w:t>
      </w:r>
    </w:p>
    <w:p>
      <w:r>
        <w:t>Die Klägerin führte zur Begründung ihrer Klage im Wesentlichen aus, seitens der Be klagten seien keine Prämien beglichen worden, vielmehr sei alles unter nom men worden, um die Bezahlung der geschuldeten Prämien hinauszuschieben. Die der Beklagten zugestellten Prämienrechnungen, Kontoauszüge, Mahnungen und die Kündigung seien stets unwidersprochen geblieben, weshalb davon auszu ge hen sei, dass die Beklagte ihre Schuld grundsätzlich anerkenne (Urk. 1). 2. 2.1</w:t>
      </w:r>
    </w:p>
    <w:p>
      <w:r>
        <w:t>Die von der Klägerin eingeklagten Beitragsforderungen sind durch die Akten hin reichend ausgewiesen (Urk. 2/9 und 2/14) , ebenso ist das</w:t>
      </w:r>
    </w:p>
    <w:p>
      <w:r>
        <w:t>Prämien kon to korrent der Jahre 2022 bis 2024</w:t>
      </w:r>
    </w:p>
    <w:p>
      <w:r>
        <w:t>aktenkundig , welche s die Beitrags for de run gen – ein schliess lich der Vertragsauflösungskosten – zusätzlich belegt (Urk. 2/8) .</w:t>
      </w:r>
    </w:p>
    <w:p>
      <w:r>
        <w:t>Anzeichen dafür, dass die im vorliegenden Verfahren als säumig zu betrachtende Be klagte jemals Bestand und/oder Höhe der eingeklagten Forderungen vor- be ziehungsweise ausserprozessual in Zweifel gezogen hätte, sind den Akten nicht zu entnehmen. Darüber hinaus wurde auch der Rechtsvorschlag in der Betreibung Nr. «…» des Betreibungsamtes der Stadt Dietikon ohne An gabe von Grün den erhoben ( Urk. 2/17 ). 2.2</w:t>
      </w:r>
    </w:p>
    <w:p>
      <w:r>
        <w:t>Die von der Klägerin zusätzlich in Rechnung gestellte n Mahngebühr e n von Fr. 2 0 0.--, die Verwaltungs-/Vertragsauflösungskosten von Fr. 550.-- sowie die Ge bühr für die Einleitung der Betreibung von Fr. 300.-- (Urk. 2/8) haben ihre recht liche Grund lage in Ziffer</w:t>
      </w:r>
    </w:p>
    <w:p>
      <w:r>
        <w:rPr>
          <w:b/>
        </w:rPr>
        <w:t>E. 3</w:t>
      </w:r>
    </w:p>
    <w:p>
      <w:r>
        <w:t>) an (Urk. 2/</w:t>
      </w:r>
    </w:p>
    <w:p>
      <w:r>
        <w:rPr>
          <w:b/>
        </w:rPr>
        <w:t>E. 3.1</w:t>
      </w:r>
    </w:p>
    <w:p>
      <w:r>
        <w:t>Nach dem Gesagten ist die Klage teilweise gutzuheissen. Der Rechtsvorschlag in der Betreibung Nr. «…» des Betreibungsamtes der Stadt Dietikon (Zah lungs be fehl vom 13. September 2024, Urk. 2/17) ist demzufolge im Betrag von Fr. 69'966.80 zuzüglich 6 % Verzugszins seit 31 . Dezember 2023 aufzuheben.</w:t>
      </w:r>
    </w:p>
    <w:p>
      <w:r>
        <w:t>Im Übrigen ist die Klage abzuweisen.</w:t>
      </w:r>
    </w:p>
    <w:p>
      <w:r>
        <w:rPr>
          <w:b/>
        </w:rPr>
        <w:t>E. 3.2</w:t>
      </w:r>
    </w:p>
    <w:p>
      <w:r>
        <w:t>Die Betreibungskosten von 104.-- (Urk. 2/17) sind von Gesetzes wegen geschuldet (Art. 68 Abs. 1 des Bundesgesetzes über Schuldbetreibung und Konkurs [SchKG]) und vom Schuldner bei erfolgreicher Betreibung zusätzlich zur Forderung zu be zahlen. Die Klägerin ist berechtigt, diese Kosten von den Zahlungen der Beklagten vor ab zu erheben (Art. 68 Abs. 2 SchKG). Sie bilden nicht Gegenstand des Rechts öff nungsverfahrens, weshalb hierfür keine Rechtsöffnung zu erteilen ist (Urteil des Bundesgerichts K 144/03 vom 18. Juni 2014 E. 4.1; vgl. auch BGE 144 III 360 E. 3.6.2).</w:t>
      </w:r>
    </w:p>
    <w:p>
      <w:r>
        <w:rPr>
          <w:b/>
        </w:rPr>
        <w:t>E. 4</w:t>
      </w:r>
    </w:p>
    <w:p>
      <w:r>
        <w:t>Zustellung gegen Empfangsschein an: - Advokat Thomas Käslin - Bundesamt für Sozialversicherungen s owie via Publikation im Amtsblatt an : - Y.___ AG sowie an : - Gerichtskasse (im Dispositiv nach Eintritt der Rechtskraft) zur Kenntnisnahme</w:t>
      </w:r>
    </w:p>
    <w:p>
      <w:r>
        <w:rPr>
          <w:b/>
        </w:rPr>
        <w:t>E. 4.1</w:t>
      </w:r>
    </w:p>
    <w:p>
      <w:r>
        <w:t>Gemäss Art. 73 BVG ist das Verfahren grundsätzlich kostenlos.</w:t>
      </w:r>
    </w:p>
    <w:p>
      <w:r>
        <w:t>Allerdings ist das Erheben eines Rechtsvorschlages gegen offensichtlich zu Recht in Betreibung gesetzte Beitragsforderungen verbunden mit der Säumigkeit im nach folgenden Prozess nach der ständigen Praxis des hiesigen Gerichts als mut williges Verhalten im Sinne von § 33 Abs. 2 des Gesetzes über das Sozial ver siche rungsgericht (GSVGer) zu qualifizieren. Folglich sind der Beklagten die Kos ten des Verfahrens in der Höhe von Fr. 800.-- aufzuerlegen , welche indes we gen offensichtlicher Uneinbringlichkeit sofort abzuschreiben sind .</w:t>
      </w:r>
    </w:p>
    <w:p>
      <w:r>
        <w:rPr>
          <w:b/>
        </w:rPr>
        <w:t>E. 4.2</w:t>
      </w:r>
    </w:p>
    <w:p>
      <w:r>
        <w:t>Nach § 34 Abs. 2 GSVGer haben Versicherungsträger in der Regel keinen An spruch auf Ersatz ihrer Parteikosten. Aufgrund des vorliegend als mutwillig zu qualifizierenden Verhaltens der Beklagten wird diese jedoch in Anwendung von § 34 Abs. 2 GSVGer verpflichtet, der teilweise obsiegenden Klägerin eine Partei ent schädigung in der Höhe von Fr. 1'000.-- ( inkl. Barauslagen und MWSt ) zu be zah len. Das Gericht erkennt: 1.</w:t>
      </w:r>
    </w:p>
    <w:p>
      <w:r>
        <w:t>In teilweiser Gutheissung der Klage wird die Beklagte verpflichtet, der Klägerin Fr. 69'966.80 nebst Zins zu 6 % seit dem 31. Dezember 2023 zu bezahlen, und es wird der Rechtsvorschlag in der Betreibung Nr. «…» des Betreibungsamtes der Stadt Dietikon (Zahlungsbefehl vom 13. September 2024) in diesem Umfang aufgehoben.</w:t>
      </w:r>
    </w:p>
    <w:p>
      <w:r>
        <w:t>Im Übrigen wird die Klage abgewiesen. 2.</w:t>
      </w:r>
    </w:p>
    <w:p>
      <w:r>
        <w:t>Die Gerichtskosten von Fr. 800 .-- werden der Beklagten auferlegt , jedoch wegen offen sichtlicher Uneinbringlichkeit sofort abgeschrieben . 3.</w:t>
      </w:r>
    </w:p>
    <w:p>
      <w:r>
        <w:t>Die Beklagte wird verpflichtet, der Klägerin eine Parteientschädigung von Fr. 1’000 .-- (inkl. Barauslagen und MWST) zu bezahlen.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PhilippBöhme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