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BV.2024.00045 vom 21. August 2024</w:t>
      </w:r>
    </w:p>
    <w:p>
      <w:r>
        <w:t>ZH Sozialversicherungsgericht, 2024-08-21, DE</w:t>
      </w:r>
    </w:p>
    <w:p>
      <w:r>
        <w:rPr>
          <w:b/>
        </w:rPr>
        <w:t xml:space="preserve">Quelle: </w:t>
      </w:r>
      <w:r>
        <w:t>https://mcp.opencaselaw.ch/entscheid/zh_sozialversicherungsgericht_BV.2024.00045</w:t>
      </w:r>
    </w:p>
    <w:p>
      <w:r>
        <w:t>FR: ZH_SOZIALVERSICHERUNGSGERICHT BV.2024.00045 du 21 août 2024</w:t>
      </w:r>
    </w:p>
    <w:p>
      <w:r>
        <w:t>IT: ZH_SOZIALVERSICHERUNGSGERICHT BV.2024.00045 del 21 agosto 2024</w:t>
      </w:r>
    </w:p>
    <w:p>
      <w:pPr>
        <w:pStyle w:val="Heading2"/>
      </w:pPr>
      <w:r>
        <w:t>Volltext</w:t>
      </w:r>
    </w:p>
    <w:p>
      <w:r>
        <w:t>Sozialversicherungsgericht des Kantons Zürich BV.2024.00045</w:t>
      </w:r>
    </w:p>
    <w:p>
      <w:r>
        <w:t>V. Kammer Sozialversicherungsrichterin Philipp, Vorsitzende Sozialversicherungsrichterin Curiger Sozialversicherungsrichter Kübler Gerichtsschreiberin R. Müller Beschluss vom 21. August 2024 in Sa chen X.___ Klägerin vertreten durch Rechtsanwältin Annamaria Ferrara F&amp;G Rechtsanwaltskanzlei Via Maestri</w:t>
      </w:r>
    </w:p>
    <w:p>
      <w:r>
        <w:t>Comacini 7, Postfach 2326, 6830 Chiasso 1 gegen 1.</w:t>
      </w:r>
    </w:p>
    <w:p>
      <w:r>
        <w:t>Y.___ 2.</w:t>
      </w:r>
    </w:p>
    <w:p>
      <w:r>
        <w:t>Swiss Life AG General-Guisan-Quai 40, Postfach, 8022 Zürich Beklagte 1.</w:t>
      </w:r>
    </w:p>
    <w:p>
      <w:r>
        <w:t>Mit Urteil vom 22. März 2011 schied das Tribunale Ordinario di Como die am 26. September 1982 geschlossene Ehe zwischen Y.___ und X.___ (Urk. 2/B). Mit Eingabe vom 12. Juli 2024 (Poststempel) gelangte X.___ an das hiesige Gericht und verlangte die Feststellung und Berech nung des von Y.___ während der Ehe erworbene n Alters guthaben s in der beruflichen Vorsorge sowie die Berechnung des ihr zustehenden Betrags (Urk. 1/1 S. 5). 2.</w:t>
      </w:r>
    </w:p>
    <w:p>
      <w:r>
        <w:t>2.1</w:t>
      </w:r>
    </w:p>
    <w:p>
      <w:r>
        <w:t>Am 1. Januar 2017 sind die revidierten Bestimmungen zum Vorsorgeausgleich bei Scheidung in Kraft getreten. Gemäss dem neuen Art. 64 Abs. 1 bis Satz 1 des Bundesgesetzes über das Internationale Privatrecht (IPRG) sind für den Ausgleich von Vorsorgeansprüchen gegenüber einer schweizerischen Einrichtung der beruflichen Vorsorge die schweizerischen Gerichte ausschliesslich zuständig. Deshalb können im Ausland ergangene Urteile über den Ausgleich schwei zerischer Vorsorgeansprüche nicht mehr anerkannt werden. Das vorliegend zu beurteilende italienische Scheidungsurteil ist am 22. März 2011 und damit noch vor Inkrafttreten der Revision zum Vorsorgeausgleich ergangen, weshalb Art. 64 Abs. 1 bis IPRG rechtsprechungsgemäss nicht anwendbar ist; vielmehr erfolgt die Anerkennung und Vollstreckung dieses Entscheides in Anwendung der bis Ende 2016 geltenden Vorschriften (Urteil des Bundesgerichts 9C_302/2020 vom 15. April 2021 E. 4.1 mit Hinweis). 2.2</w:t>
      </w:r>
    </w:p>
    <w:p>
      <w:r>
        <w:t>Ist eine abschliessende Regelung des Vorsorgeausgleichs durch das Scheidungs gericht nicht möglich, etwa da diesbezüglich keine Vereinbarung zustande kommt (vgl. Art. 280 der Zivilprozessordnung [ ZPO ]) oder die massgeblichen Guthaben und Renten nicht feststehen (vgl. Art. 281 Abs. 1 und 2 ZPO), so legt das Scheidungsgericht lediglich das Teilungsverhältnis fest und überweist die Streitsache nach Rechtskraft des Entscheides über das Teilungsverhältnis von Amtes wegen an das gemäss Art. 73 Abs. 1 des Bundesgesetz es über die berufliche Alters-, Hinterlassenen- und Invalidenvorsorge (BVG)</w:t>
      </w:r>
    </w:p>
    <w:p>
      <w:r>
        <w:t>i.V.m . Art. 25a Abs. 1 des Bundesgesetz es über die Freizügigkeit in der beruflichen Alters-, Hinterlassenen- und Invalidenvorsorge (FZG) zuständige kantonale Sozialver sicherungsgericht (Art. 281 Abs. 3 ZPO; Urteil des Bundesgerichts 9C_302/2020 vom 15. April 2021 E. 4.2.1).</w:t>
      </w:r>
    </w:p>
    <w:p>
      <w:r>
        <w:t>Nicht anders verhält es sich im internationalen Verhältnis: Die Anerkennung gemäss Art. 25 ff. IPRG bewirkt eine Ausdehnung der Rechtskraft und Gestal tungswirkung des ausländischen Urteils auf das Gebiet der Schweiz. Diese steht jedoch unter der Einschränkung, dass dem anerkannten Urteil im Vergleich zu einem entsprechenden inländischen keine andersartigen, wesentlich weitergehen den Wirkungen zukommen. Entsprechend ist eine in der Schweiz anerkannte ausländische Vorsorgeregelung gegenüber einer schweizerischen Vorsorgeein rich tung nur dann verbindlich, wenn diese im ausländischen Scheidungs ver fahren eine Bestätigung über die Durchführbarkeit der getroffenen Regelung abgegeben hat. Ist dies nicht der Fall, kann das ausländische Gericht nur den Grundsatz und das Ausmass der Teilung, also den Teilungsschlüssel festlegen, während die eigentliche Berechnung der Leistungen von dem gemäss Art. 73 BVG in Verbindung mit Art. 25a FZG zuständigen Sozialversicherungsgericht in der Schweiz durchzuführen ist. Hat ein ausländisches Scheidungsurteil zum Vor sorgeausgleich keinen Teilungsschlüssel festgelegt, so ist dieser Anspruch mittels Ergänzungsklage beim zuständigen Scheidungsgericht geltend zu machen (Urteil des Bundesgerichts 9C_302/2020 vom 15. April 2021 E. 4.2.2 mit weiteren Hinweisen; vgl. auch Art. 281 Abs. 3 ZPO). 3.</w:t>
      </w:r>
    </w:p>
    <w:p>
      <w:r>
        <w:t>D em von X.___ ins Recht gelegten Scheidungsurteil des Tribunale Ordinario di Como vom 22. März 2011 lässt sich keine Regelung zu m</w:t>
      </w:r>
    </w:p>
    <w:p>
      <w:r>
        <w:t>Vor sorgeausgleich der beruflichen Vorsorge gemäss schweizerischem Recht entneh men (Urk. 2/B). Ebenso wenig geht aus der dem Urteil vom 22. März 2011 zugrunde liegenden Scheidungsklage von Y.___ vom 21. September 2010, der sich X.___ im Scheidungsprozess anschloss (Urk. 2/B), hervor, dass die Eheleute eine Regelung getroffen hätten. Vielmehr erklärten die Parteien: « dichiarare</w:t>
      </w:r>
    </w:p>
    <w:p>
      <w:r>
        <w:t>che le parti</w:t>
      </w:r>
    </w:p>
    <w:p>
      <w:r>
        <w:t>nulla si devono</w:t>
      </w:r>
    </w:p>
    <w:p>
      <w:r>
        <w:t>reciprocamente in quanto economicamente</w:t>
      </w:r>
    </w:p>
    <w:p>
      <w:r>
        <w:t>indipendenti e che</w:t>
      </w:r>
    </w:p>
    <w:p>
      <w:r>
        <w:t>hanno</w:t>
      </w:r>
    </w:p>
    <w:p>
      <w:r>
        <w:t>altresì</w:t>
      </w:r>
    </w:p>
    <w:p>
      <w:r>
        <w:t>risolto</w:t>
      </w:r>
    </w:p>
    <w:p>
      <w:r>
        <w:t>ogni</w:t>
      </w:r>
    </w:p>
    <w:p>
      <w:r>
        <w:t>questione patrimoniale, ad eccezione della comproprietà della casa</w:t>
      </w:r>
    </w:p>
    <w:p>
      <w:r>
        <w:t>coniugale e degli</w:t>
      </w:r>
    </w:p>
    <w:p>
      <w:r>
        <w:t>arredi della stessa » (die Parteien stellen keine Ansprüche aneinander, da sie wirt schaftlich unabhängig sind und sämtliche Vermögensfragen, ausgenommen das gemeinsame Eigentum an der Ehewohnung und ihrer Einrichtung, geregelt haben) (Urk. 2/B, Scheidungsklage vom 21. September 2010 S. 3 Ziff. 2). Mithin wurde kein Teilungsschlüssel bestimmt.</w:t>
      </w:r>
    </w:p>
    <w:p>
      <w:r>
        <w:t>Ob sich die Eheleute X.___ und Y.___ anlässlich der Scheidung über die Frage des Vorsorgeausgleichs verständigt hatten, lässt sich den eingereichten Beilagen (Urk. 2/B-H) nicht entnehmen und es kann offen bleiben, ob das Scheidungsurteil vom 22. März 2011 in diesem Punkt allenfalls ergänzungsbedürftig ist. Denn selbst wenn es ergänzungsbedürftig wäre, ist dafür das hiesige Gericht nicht zuständig ist (vgl. vorstehend E. 2.2). Die anbegehrte Ergänzung wäre vielmehr beim zuständigen schweizerischen Scheidungsgericht (am Ort des Sitzes der Vorsorgeeinrichtung [Art. 64 Abs. 1 bis IPRG], sofern keine Zuständigkeit nach Art. 59 f. IPRG besteht) geltend zu machen. 4.</w:t>
      </w:r>
    </w:p>
    <w:p>
      <w:r>
        <w:t>Nach dem Gesagten ist das hiesige Gericht für die Beurteilung der von X.___ erhobenen Klage nicht zuständig, weshalb ohne Anhörung der Gegen partei auf die Klage nicht einzutreten ist (§ 19 Abs. 2 des Gesetzes über das Sozialversicherungsgericht [ GSVGer ]). 5.</w:t>
      </w:r>
    </w:p>
    <w:p>
      <w:r>
        <w:t>Gemäss Art. 73 Abs. 2 BVG ist das Verfahren kostenlos. Das Gericht beschliesst: 1.</w:t>
      </w:r>
    </w:p>
    <w:p>
      <w:r>
        <w:t>Auf die Klage wird nicht eingetreten. 2.</w:t>
      </w:r>
    </w:p>
    <w:p>
      <w:r>
        <w:t>Das Verfahren ist kostenlos. 3.</w:t>
      </w:r>
    </w:p>
    <w:p>
      <w:r>
        <w:t>Zustellung gegen Empfangsschein an: - Rechtsanwältin Annamaria Ferrara - Y.___ unter Beilage einer Kopie von Urk. 1 und 2/B-H - Swiss Life AG unter Beilage einer Kopie von Urk. 1 und 2/B-H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Gerichtsschreiberin 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