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BV.2024.00009 vom 5. Mai 2025</w:t>
      </w:r>
    </w:p>
    <w:p>
      <w:r>
        <w:t>ZH Sozialversicherungsgericht, 2025-05-05, DE</w:t>
      </w:r>
    </w:p>
    <w:p>
      <w:r>
        <w:rPr>
          <w:b/>
        </w:rPr>
        <w:t xml:space="preserve">Quelle: </w:t>
      </w:r>
      <w:r>
        <w:t>https://mcp.opencaselaw.ch/entscheid/zh_sozialversicherungsgericht_BV.2024.00009</w:t>
      </w:r>
    </w:p>
    <w:p>
      <w:r>
        <w:t>FR: ZH_SOZIALVERSICHERUNGSGERICHT BV.2024.00009 du 5 mai 2025</w:t>
      </w:r>
    </w:p>
    <w:p>
      <w:r>
        <w:t>IT: ZH_SOZIALVERSICHERUNGSGERICHT BV.2024.00009 del 5 maggio 2025</w:t>
      </w:r>
    </w:p>
    <w:p>
      <w:pPr>
        <w:pStyle w:val="Heading2"/>
      </w:pPr>
      <w:r>
        <w:t>Erwägungen</w:t>
      </w:r>
    </w:p>
    <w:p>
      <w:r>
        <w:rPr>
          <w:b/>
        </w:rPr>
        <w:t>E. 1.1</w:t>
      </w:r>
    </w:p>
    <w:p>
      <w:r>
        <w:t>X.___ , geboren 1979, arbeite te ab dem 1. September 2015 bei der Z.___ AG ( Z.___ ) in der Funktion als Leiter Digital auf der Kader stufe Geschäftsleitung und war damit bei der Vorsorge Y.___</w:t>
      </w:r>
    </w:p>
    <w:p>
      <w:r>
        <w:t>( A.___ ) für die berufliche Vorsorge versichert ( Urk. 2/2/1 ). Bei der A.___</w:t>
      </w:r>
    </w:p>
    <w:p>
      <w:r>
        <w:t>sind verschiedene Vorsorgewerke vorhanden, die Mitarbeiter der Z.___ waren im Vorsorgewerk B.___ versichert . Die Z.___</w:t>
      </w:r>
    </w:p>
    <w:p>
      <w:r>
        <w:t>gehörte zum damaligen Zeitpunkt zur C.___ -Gruppe. Am 4. Februar 2020 kündigte die C.___ -Gruppe an, die Z.___</w:t>
      </w:r>
    </w:p>
    <w:p>
      <w:r>
        <w:t>an ein Joint Venture von D.___ und E.___</w:t>
      </w:r>
    </w:p>
    <w:p>
      <w:r>
        <w:t>zu verkaufen. Im Rahmen der Über nahme durch die Käufer war ein erheblicher Umbau der Z.___ und damit eine Restrukturierung geplant. Da die A.___ nur Unternehmen der C.___ -Gruppe offensteht, mussten sämtliche Destinatäre der Z.___ die Stiftung bis spätestens 31. Dezember 2021 verlassen. Die unfreiwilligen Einzelaustritte und die kollektiven Austritte aus der A.___ führten zu einer umfassenden Teilliquidation der A.___ bzw. des Vorsorgewerkes B.___</w:t>
      </w:r>
    </w:p>
    <w:p>
      <w:r>
        <w:t>(Urk. 2/2/4 S. 1 ). Gemäss dem Teil liquidationsbericht vom 2 0. April 2022 zeigte der Status der Teilliquidation, dass sowohl per 3 1. Dezember 2019 (Einzelaustritte) als auch per 3 1. Dezember 2021 (kollektive Austritte) freie Mittel vorhanden waren. Für die Einzelaustritte wurde auf den Deckungsgrad per 3 1. Dezember 2019 von 146.94 % abgestellt und die freien Mittel der Performance vom 31. Dezember 2019 bis zum 31.</w:t>
      </w:r>
    </w:p>
    <w:p>
      <w:r>
        <w:t>Dezember 2021 angepasst ( Urk. 2/2/4 S. 14). Am 1 6. Mai 2022 teilte die A.___ den Versicherten und Rentnern der Z.___ unter anderem mit, dass unfreiwillige Einzelaustritte aufgrund der Restrukturierung der Z.___ im Zeitraum vom 4.</w:t>
      </w:r>
    </w:p>
    <w:p>
      <w:r>
        <w:t>Februar 2020 bis zum 3 1. Dezember 2021 von der Teilliquidation des Vor sorgewerks B.___ betroffen seien. Die 211 Mitarbeitenden, d ie im Zusammen hang mit der Restrukturierung gekündigt hätten oder denen von Seite Arbeitgeber gekündigt worden sei, hätten neben der Austrittsleistung einen individuellen anteilsmässigen Anspruch auf die freien Mittel, welche analog der Austritts leistungen überwiesen würden. Versicherte , die im Rahmen der Restrukturierung der Z.___ im Zeitraum vom 4. Februar 2020 bis zum 31. Dezember 2021 unfrei willig aus dem Vorsorgewerk B.___ ausgetreten seien, hätten Anspruch auf einen Anteil an den freien Mitteln von 31.16 % auf ihrer massgeblichen Austrittsleistung ( Urk. 2/2/5).</w:t>
      </w:r>
    </w:p>
    <w:p>
      <w:r>
        <w:rPr>
          <w:b/>
        </w:rPr>
        <w:t>E. 1.2</w:t>
      </w:r>
    </w:p>
    <w:p>
      <w:r>
        <w:t>X.___ schloss mit der Z.___ am 9. Juni 2020 eine Austrittsvereinbarung ab. Darin h ie lten die Parteien fest, dass das bestehende Arbeitsverhältnis auf Wunsch der Arbeitgeberin unter Berücksichtigung der ordentlichen Kündigungs frist auf den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