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BV.2023.00075 vom 11. Juni 2025</w:t>
      </w:r>
    </w:p>
    <w:p>
      <w:r>
        <w:t>ZH Sozialversicherungsgericht, 2025-06-11, DE</w:t>
      </w:r>
    </w:p>
    <w:p>
      <w:r>
        <w:rPr>
          <w:b/>
        </w:rPr>
        <w:t xml:space="preserve">Quelle: </w:t>
      </w:r>
      <w:r>
        <w:t>https://mcp.opencaselaw.ch/entscheid/zh_sozialversicherungsgericht_BV.2023.00075</w:t>
      </w:r>
    </w:p>
    <w:p>
      <w:r>
        <w:t>FR: ZH_SOZIALVERSICHERUNGSGERICHT BV.2023.00075 du 11 juin 2025</w:t>
      </w:r>
    </w:p>
    <w:p>
      <w:r>
        <w:t>IT: ZH_SOZIALVERSICHERUNGSGERICHT BV.2023.00075 del 11 giugno 2025</w:t>
      </w:r>
    </w:p>
    <w:p>
      <w:pPr>
        <w:pStyle w:val="Heading2"/>
      </w:pPr>
      <w:r>
        <w:t>Erwägungen</w:t>
      </w:r>
    </w:p>
    <w:p>
      <w:r>
        <w:rPr>
          <w:b/>
        </w:rPr>
        <w:t>E. 1.1</w:t>
      </w:r>
    </w:p>
    <w:p>
      <w:r>
        <w:t>Nach Art. 23 lit . a des Bundesgesetz es über die berufliche Alters-, Hinterlassenen- und Invalidenvorsorge (BVG)</w:t>
      </w:r>
    </w:p>
    <w:p>
      <w:r>
        <w:t>haben unter anderem Personen A nspruch auf Invalidenleistungen, die</w:t>
      </w:r>
    </w:p>
    <w:p>
      <w:r>
        <w:t>im Sinne der IV zu mindestens 40 Prozent invalid sind und bei Eintritt der Arbeitsunfähigkeit, deren Ursache zur Invalidität geführt hat, versichert waren . Gemäss Abs. 1 von Art. 26 BVG gelten für den Beginn des Anspruchs auf Invalidenleistungen sinngemäss die entsprechenden Bestimmun gen des Bundesgesetzes über die Invalidenversicherung (Art. 29 des Bundesge setz es über die Invalidenversicherung ; IVG ). Die Invalidenleistungen nach BVG werden von derjenigen Vorsorgeeinrichtung geschuldet, welcher die den Anspruch erhebende Person bei Eintritt des versicherten Ereignisses angeschlos 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Arbeitsunfähig 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rPr>
          <w:b/>
        </w:rPr>
        <w:t>E. 1.2</w:t>
      </w:r>
    </w:p>
    <w:p>
      <w:r>
        <w:t>Nach Art. 23 BVG versichertes Ereignis ist einzig der Eintritt der relevanten Arbeitsunfähigkeit, unabhängig davon, in welchem Zeitpunkt und in welchem Masse daraus ein Anspruch auf Invalidenleistungen entsteht. Die Versichertenei 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Vorsorgeverhältnisses der Invaliditätsgrad ändert. Entsprechend bildet denn auch der Wegfall der Versicherteneigenschaft kein Erlöschungsgrund (Art. 26 Abs. 3 BVG e contrario; BGE 136 V 65 E. 3.1,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 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Beendigung des Vorsorgeverhältnisses eingetretene Invaliditätsrisiko aufzukom men hat, ist indes erforderlich, dass zwischen Arbeitsunfähigkeit und Invalidität ein enger sachlicher und zeitlicher Zusamme 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 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 nahme der Arbeit ver anlasst haben (BGE 123 V 262 E. lc , 120 V 112 E. 2c/ aa und 2c/ bb mit Hi nweisen; vgl. auch 138 V 409 E. 6.2, 134 V 20 E. 3.2.1).</w:t>
      </w:r>
    </w:p>
    <w:p>
      <w:r>
        <w:rPr>
          <w:b/>
        </w:rPr>
        <w:t>E. 1.4</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Der zeitliche Zusammenhang zur später eingetretenen Invalidität als weitere Voraussetzung für den Anspruch auf Invalidenleistungen der damaligen Vorsorgeeinrichtung beurteilt sich hin gegen nach der Arbeits unfähigkeit respektive Arbeitsfähigkeit in einer der gesundheit lichen Beeinträchtigung angepassten zumutbaren Tätigkeit. Diese Beschäftigung muss jedoch bezogen auf die angestammte Arbeit die Erzielung eines rentenaus schliessenden Einkommens erlauben ( Urteil des Bundesgerichts 9C_536/2012 vom 28. Dezember 2012 E. 2.1.3).</w:t>
      </w:r>
    </w:p>
    <w:p>
      <w:r>
        <w:rPr>
          <w:b/>
        </w:rPr>
        <w:t>E. 2</w:t>
      </w:r>
    </w:p>
    <w:p>
      <w:r>
        <w:t>Am 4. Oktober 2023 erhob die Vertreterin der Versicherten Klage gegen die BVK und beantragte, es sei die Beklagte zu verurteilen, der Klägerin die gesetzlichen und reglementarischen Invalidenleistungen zu erbringen zuzüglich Verzugszins von 5 % ab Klageeinleitung. Weiter sei die Sache zur Festlegung der Höhe der Leistungen an die Beklagte zurückzuweisen; unter Kosten- und Entschädigungs folgen zu Lasten der Beklagten ( Urk. 1 S. 2).</w:t>
      </w:r>
    </w:p>
    <w:p>
      <w:r>
        <w:t>Mit Klageantwort vom 1 0. November 2023 beantragte die Beklagte die vollum fängliche Abweisung der Klage ( Urk. 6). Mit Replik vom 1 5. Januar 2024 hielt die Vertreterin der Klägerin an den bereits gestellten Anträgen fest und beantragte in prozessualer Hinsicht weiter, dass die Pensionskasse Stadt Zürich zum Verfahren beizuladen sei ( Urk. 12 S. 2). Mit Duplik vom 2 8. März 2024 hielt die Beklagte an der vollumfänglichen Klageabweisung fest ( Urk. 17), was der Klägerin mit Verfügung vom 2 6. Juni 2024 zur Kenntnis gebracht wurde, unter Hinweis darauf, dass aufgrund der Sachlage derzeit eine Beiladung der Pensionskasse Stadt Zürich nicht angezeigt sei ( Urk. 18). Das Gericht zieht in Erwägung: 1.</w:t>
      </w:r>
    </w:p>
    <w:p>
      <w:r>
        <w:rPr>
          <w:b/>
        </w:rPr>
        <w:t>E. 2.1</w:t>
      </w:r>
    </w:p>
    <w:p>
      <w:r>
        <w:t>Die Vertreterin der Klägerin führte zur Klagebegründung im Wesentlichen aus, dass ihre Mandantin im Jahr 2017 im Zusammenhang mit einem Konflikt am Arbeitsplatz eine Depression mit Burnout erlitten habe; von der seit dem 2 7. Juni 2017 bestehenden Arbeitsunfähigkeit habe sie sich nicht mehr erholen können ( Urk. 1 S. 5). Weiter habe der tragische Tod des Vaters am 1 0. Februar 2018 zu einer richtungsweisenden Verschlimmerung geführt (S. 6). Trotz der attestierten Arbeitsfähigkeit ab 1. September 2019 habe die gleiche Arbeitsunfähigkeit bestanden wie zuvor ; eine plötzliche Arbeitsfähigkeit wäre auch angesichts der das Krankheitsgeschehen prägenden Leiden der Klägerin (Asperger-Syndrom, Persönlichkeitsstörung, ADHS) nicht nachvollziehbar gewesen (S. 7). Arbeitsun fähigkeitszeugnisse würden während dieser Phase nicht bestehen, da die Klägerin gegenüber ihrem ehemaligen Arbeitgeber keine medizinischen Daten habe offenlegen wollen (S. 8). Auch bei der Anstellung als Schulleitungssekretärin sei die Klägerin den Herausforderungen der Arbeit nicht gewachsen gewesen; die Erhöhung des Pensums sei aufgrund der langsamen Arbeitsweise der Klägerin erfolgt (S. 9 f.).</w:t>
      </w:r>
    </w:p>
    <w:p>
      <w:r>
        <w:t>Aufgrund der IV-Anmeldung im November 2021 habe die Klägerin kein schutz würdiges Interesse gehabt, die IV-Verfügung anzufechten, wobei die IV-Stelle die Wartezeit per Anfang August 2021 eröffnet habe (S. 17). Insgesamt habe die Klägerin ihre Arbeitsfähigkeit seit Juni 2017 nicht mehr wiedererlangen können, nachdem sie ihre Defizite während Jahren zunächst habe kompensieren können (S. 20 f.).</w:t>
      </w:r>
    </w:p>
    <w:p>
      <w:r>
        <w:rPr>
          <w:b/>
        </w:rPr>
        <w:t>E. 2.2</w:t>
      </w:r>
    </w:p>
    <w:p>
      <w:r>
        <w:t>Demgegenüber stellte sich die Beklagte hauptsächlich auf den Standpunkt, dass die IV-Stelle die Eröffnung der Wartezeit auf den 2 0. August 2021 festgelegt und die Anmeldung nicht als verspätet qualifiziert habe; weiter seien die Feststellun gen der IV nach Lage der Akten nicht offensichtlich unrichtig. Die Klägerin habe die Verfügung vom 1 3. März 2023 unangefochten in Rechtskraft erwachsen lassen und sei damit an die Feststellungen der IV gebunden ( Urk.</w:t>
      </w:r>
    </w:p>
    <w:p>
      <w:r>
        <w:rPr>
          <w:b/>
        </w:rPr>
        <w:t>E. 2.3</w:t>
      </w:r>
    </w:p>
    <w:p>
      <w:r>
        <w:t>Im Rahmen der Replik führte die Vertreterin der Klägerin im Wesentlichen erneut aus, dass aufgrund der Aktenlage auch ab 1. September 2019 nicht auf eine plötzliche Arbeitsfähigkeit geschlossen werden könne ( Urk. 12 S. 6). Auch die Tätigkeit als Schulleitungssekretärin habe den zeitlichen Zusammenhang nicht unterbrochen (S. 9 ff.). Weiter werde bestritten, dass die Klägerin über ein genügendes schutzwürdiges Interesse an der Anfechtung der IV-Verfügung gehabt habe. So hätte ein möglicher Rentenbeginn per 1. Mai 2022 lediglich zu einer Prüfung des Verlaufs der Erkrankung ab 1. Mai 2021 geführt (S. 13). Selbst wenn eine Bindungswirkung hinsichtlich der Wartezeit bestehen würde, läge diesbezüglich eine offensichtliche Unrichtigkeit vor. So hätte die IV-Stelle bei einem Pensum von 70 oder 75 % nur dann keinen früheren Beginn der Arbeits unfähigkeit annehmen können, wenn sie die Klägerin als T eilerwerbstätige erachtete. Dieser Schluss wäre indes aktenwidrig gewesen (S. 14).</w:t>
      </w:r>
    </w:p>
    <w:p>
      <w:r>
        <w:rPr>
          <w:b/>
        </w:rPr>
        <w:t>E. 2.4</w:t>
      </w:r>
    </w:p>
    <w:p>
      <w:r>
        <w:t>In ihrer Duplik vom 2 8. März 2024 führte die Beklagte im Wesentlichen erneut aus, dass eine durchgehende mindestens 20%ige andauernde Einbusse an funk tioneller Leistungsfähigkeit seit dem Austritt der Kläger bei der Beklagten nicht ausgewiesen sei ( Urk. 17 S. 4). Auch sei nach Lage der Akten nicht ausgewiesen, dass die Klägerin gesundheitsbedingt lediglich zu 70 oder 75 % gearbeitet habe (S. 5). An den Ausführungen betreffend die IV-Verfügung (Bindungswirkung, Rz . 33 der Klageantwort) werde weiterhin festgehalten (S. 6). 3. 3.1</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w:t>
      </w:r>
    </w:p>
    <w:p>
      <w:r>
        <w:rPr>
          <w:b/>
        </w:rPr>
        <w:t>E. 6</w:t>
      </w:r>
    </w:p>
    <w:p>
      <w:r>
        <w:t>Der Beklagten steht in ihrer Funktion als Trägerin der beruflichen Vorsorge trotz ihres Obsiegens keine Prozessentschädigung zu (§ 34 Abs. 2 des Gesetzes über das Sozialversicherungsgericht, GSVGer ; vgl. statt vieler: BGE 128 V 124 E. 5b). Das Gericht erkennt: 1.</w:t>
      </w:r>
    </w:p>
    <w:p>
      <w:r>
        <w:t>Die Klage wird abgewiesen. 2.</w:t>
      </w:r>
    </w:p>
    <w:p>
      <w:r>
        <w:t>Das Verfahren ist kostenlos. 3.</w:t>
      </w:r>
    </w:p>
    <w:p>
      <w:r>
        <w:t>Zustellung gegen Empfangsschein an: - Rechtsanwältin Dr. Elisabeth Glättli - BVK Personalvorsorge des Kantons Zürich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