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BV.2023.00044 vom 30. Mai 2024</w:t>
      </w:r>
    </w:p>
    <w:p>
      <w:r>
        <w:t>ZH Sozialversicherungsgericht, 2024-05-30, DE</w:t>
      </w:r>
    </w:p>
    <w:p>
      <w:r>
        <w:rPr>
          <w:b/>
        </w:rPr>
        <w:t xml:space="preserve">Quelle: </w:t>
      </w:r>
      <w:r>
        <w:t>https://mcp.opencaselaw.ch/entscheid/zh_sozialversicherungsgericht_BV.2023.00044</w:t>
      </w:r>
    </w:p>
    <w:p>
      <w:r>
        <w:t>FR: ZH_SOZIALVERSICHERUNGSGERICHT BV.2023.00044 du 30 mai 2024</w:t>
      </w:r>
    </w:p>
    <w:p>
      <w:r>
        <w:t>IT: ZH_SOZIALVERSICHERUNGSGERICHT BV.2023.00044 del 30 maggio 2024</w:t>
      </w:r>
    </w:p>
    <w:p>
      <w:pPr>
        <w:pStyle w:val="Heading2"/>
      </w:pPr>
      <w:r>
        <w:t>Erwägungen</w:t>
      </w:r>
    </w:p>
    <w:p>
      <w:r>
        <w:rPr>
          <w:b/>
        </w:rPr>
        <w:t>E. 1</w:t>
      </w:r>
    </w:p>
    <w:p>
      <w:r>
        <w:t>S.</w:t>
      </w:r>
    </w:p>
    <w:p>
      <w:r>
        <w:rPr>
          <w:b/>
        </w:rPr>
        <w:t>E. 2</w:t>
      </w:r>
    </w:p>
    <w:p>
      <w:r>
        <w:t>, Urk. 8 S. 2-3 ).</w:t>
      </w:r>
    </w:p>
    <w:p>
      <w:r>
        <w:t>Er hätte seinen Anspruch auf eine Altersrente regulär am 1. Januar</w:t>
      </w:r>
    </w:p>
    <w:p>
      <w:r>
        <w:t>2022 erworben (Urk. 1 S. 3) . Er</w:t>
      </w:r>
    </w:p>
    <w:p>
      <w:r>
        <w:t>künd ig te sein Arbeitsverhältnis aber bereits per</w:t>
      </w:r>
    </w:p>
    <w:p>
      <w:r>
        <w:rPr>
          <w:b/>
        </w:rPr>
        <w:t>E. 2.1</w:t>
      </w:r>
    </w:p>
    <w:p>
      <w:r>
        <w:t>Mit Eingabe vom 2 . Juni 202</w:t>
      </w:r>
    </w:p>
    <w:p>
      <w:r>
        <w:rPr>
          <w:b/>
        </w:rPr>
        <w:t>E. 2.1.1</w:t>
      </w:r>
    </w:p>
    <w:p>
      <w:r>
        <w:t>Die Vorschriften bezüglich Altersguthaben und dessen Verzinsung für die obli ga torischen Versicherungsleistungen finden sich in Art. 15 BVG und in den Art.</w:t>
      </w:r>
    </w:p>
    <w:p>
      <w:r>
        <w:rPr>
          <w:b/>
        </w:rPr>
        <w:t>E. 2.1.2</w:t>
      </w:r>
    </w:p>
    <w:p>
      <w:r>
        <w:t>Das Prinzip der Gleichbehandlung der Destinatäre bildet neben den Grundsätzen der Angemessenheit, Kollektivität und Planmässigkeit ein Strukturprinzip der weitergehenden beruflichen Vorsorge. Der Gleichbehandlungsgrundsatz findet auch bei reinen Ermessensleistungen Anwendung und schliesst nicht aus, dass unter den Destinatären nach objektiven Kriterien Kategorien gebildet werden dürfen. Innerhalb der gebildeten Gruppen (beispielsweise im Rahmen verschie dener Vorsorgepläne) sind die Destinatäre jedoch einander gleichzustellen (BGE</w:t>
      </w:r>
    </w:p>
    <w:p>
      <w:r>
        <w:t>132 V 149 E. 5.2.5 mit Hinweisen). Das Bundesgericht hat weiter festgehalten, dass eine Regelung g egen</w:t>
      </w:r>
    </w:p>
    <w:p>
      <w:r>
        <w:t>das Gebot der rechtsgleichen Behandlung (Art. 8 Abs. 1 der Bundesverfassung [BV]) verstösst , wenn sie sich nicht auf ernsthafte Gründe stützen lässt, sinn- oder zwecklos ist oder rechtliche Unterscheidungen trifft, für die sich ein vernünftiger Grund nicht finden lässt. Gleiches gilt, wenn sie es unterlässt, Unterscheidungen zu treffen, die richtigerweise hätten berücksichtigt werden sollen (BGE 133 V 42 E. 3.1 mit Hinweisen).</w:t>
      </w:r>
    </w:p>
    <w:p>
      <w:r>
        <w:rPr>
          <w:b/>
        </w:rPr>
        <w:t>E. 2.1.3</w:t>
      </w:r>
    </w:p>
    <w:p>
      <w:r>
        <w:t>S odann führte das Bundesgericht in BGE 140 V 169</w:t>
      </w:r>
    </w:p>
    <w:p>
      <w:r>
        <w:t>E.</w:t>
      </w:r>
    </w:p>
    <w:p>
      <w:r>
        <w:t>5 .1 aus,</w:t>
      </w:r>
    </w:p>
    <w:p>
      <w:r>
        <w:t>dass mit der Zins gut schrift nic ht bis zum Ablauf des Kalenderjahres zugewartet werden könne, wenn eine versicherte Person unterjährig austrete und die Austrittsleistung mit dem Austritt fällig werde. Indem die Pensionskasse prospektiv den Zins für v ersicherte Personen , die während des darauf folgenden Jahres austreten,</w:t>
      </w:r>
    </w:p>
    <w:p>
      <w:r>
        <w:t>festleg e, schaff e sie Klarheit und Transparenz. Insbesondere komm e sie einer allfälligen Ungleich behandlung unter den Austretenden zuvor: Da sich die Performance nicht über das ganze Jahr gleich entwickl e , würden im jeweiligen Zeitpunkt der verschie denen Austritte unterschiedliche finanzielle Möglichkeiten</w:t>
      </w:r>
    </w:p>
    <w:p>
      <w:r>
        <w:t>resultieren, was ver schiedene Zinssätze zur Folge hätte. Eine Verpflichtung, den</w:t>
      </w:r>
    </w:p>
    <w:p>
      <w:r>
        <w:t>Zins zu nächst nur provisorisch festzulegen und diesen nachträglich zu korrigieren (in Form einer Rück- oder Nachzahlung), lasse sich weder aus Gesetz noch Reglement ableiten. Ein solches Vorgehen sei schon — unabhängig von der Frage nach der Zuläs sig keit — aus Gründen der Zweckmässigkeit abzulehnen, denn es</w:t>
      </w:r>
    </w:p>
    <w:p>
      <w:r>
        <w:t>verursach e vor allem auf Seiten der involvierten Vorsorgeeinrichtungen erheblichen admi nistra tiven Mehraufwand und damit nicht unbedeutende Kosten. Schliesslich sei die zinsrechtliche Schlechterstellung der austretenden Versicherten gegenüber den verbleibenden im Ausschluss von (zusätzlichen) Sanierungslasten begründet . In diesem Sinne sei die ungleiche</w:t>
      </w:r>
    </w:p>
    <w:p>
      <w:r>
        <w:t>Verzinsung</w:t>
      </w:r>
    </w:p>
    <w:p>
      <w:r>
        <w:t>für austretende und verbleibende Versicherte objektiv motiviert. Entscheidend sei , dass innerhalb der beiden Grup pen keine Ungleichbehandlung stattfinde.</w:t>
      </w:r>
    </w:p>
    <w:p>
      <w:r>
        <w:rPr>
          <w:b/>
        </w:rPr>
        <w:t>E. 2.2</w:t>
      </w:r>
    </w:p>
    <w:p>
      <w:r>
        <w:t>Gemäss Art. 22 Abs. 1 des vorliegend anwendbaren Vorsorgereglements der Beklagten in der ab 1. Januar 2021 gültig gewesenen Version ( Urk. 2/8) legt der Stiftungsrat den Zinssatz für die Verzinsung des Sparguthabens auf dem Spar konto unter Beachtung der gesetzlichen Vorschriften und finanziellen Möglich keiten der Pensionskasse fest. Es können unterschiedliche Zinssätze festgelegt werden, so namentlich für den obligatorischen und den überobligatorischen Teil des Sparguthabens. Der Stiftungsrat kann für das laufende Jahr einen provi sori schen Zinssatz festlegen, der dann auch rückwirkend angepasst werden kann.</w:t>
      </w:r>
    </w:p>
    <w:p>
      <w:r>
        <w:t>Laut Art. 22 Abs. 2 des Vorsorgereglements werden der Stand des Sparkontos am Jahresanfang sowie Zu- und Abgänge pro rata temporis verzinst und am Ende des Kalenderjahres zum Sparkonto geschlagen. Die Spargutschriften werden während eines Kalenderjahres nicht verzinst und jeweils am Ende des Jahres respek tive zum Austrittszeitpunkt dem Sparkonto gutgeschrieben. Einmal - einlagen (= gutgeschriebene Freizügigkeitsleistungen und allfällige zusätzliche Einlagen) werden pro rata temporis verzinst.</w:t>
      </w:r>
    </w:p>
    <w:p>
      <w:r>
        <w:rPr>
          <w:b/>
        </w:rPr>
        <w:t>E. 2.3</w:t>
      </w:r>
    </w:p>
    <w:p>
      <w:r>
        <w:t>Gemäss Art. 24 Abs. 1 des Vorsorgereglements beginnt der Anspruch auf die Altersrente am Ersten des Monats nach Erreichen des ordentlichen Pensio nie rungsalters von 65 Jahren (vgl.</w:t>
      </w:r>
    </w:p>
    <w:p>
      <w:r>
        <w:t>Art.</w:t>
      </w:r>
    </w:p>
    <w:p>
      <w:r>
        <w:rPr>
          <w:b/>
        </w:rPr>
        <w:t>E. 2.4</w:t>
      </w:r>
    </w:p>
    <w:p>
      <w:r>
        <w:t>Die Auslegung des Reglements einer privatrechtlichen Vorsorgeeinrichtung als vorformulierter Inhalt des Vorsorgevertrages geschieht nach dem Vertrauens prinzip. Dabei sind jedoch die den Allgemeinen Versicherungsbedingungen inne wohnenden Besonderheiten zu beachten, namentlich die so genannten Unklar heits -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 din gungen im Zweifel zu Lasten ihres Verfassers auszulegen (BGE 144 V 376 E. 2.2, 138 V 176</w:t>
      </w:r>
    </w:p>
    <w:p>
      <w:r>
        <w:t>E.</w:t>
      </w:r>
    </w:p>
    <w:p>
      <w:r>
        <w:t>6 ,</w:t>
      </w:r>
    </w:p>
    <w:p>
      <w:r>
        <w:t>131 V 27</w:t>
      </w:r>
    </w:p>
    <w:p>
      <w:r>
        <w:t>E.</w:t>
      </w:r>
    </w:p>
    <w:p>
      <w:r>
        <w:t>2.2).</w:t>
      </w:r>
    </w:p>
    <w:p>
      <w:r>
        <w:rPr>
          <w:b/>
        </w:rPr>
        <w:t>E. 2.5</w:t>
      </w:r>
    </w:p>
    <w:p>
      <w:r>
        <w:t>Der in</w:t>
      </w:r>
    </w:p>
    <w:p>
      <w:r>
        <w:t>Art. 9</w:t>
      </w:r>
    </w:p>
    <w:p>
      <w:r>
        <w:t>BV</w:t>
      </w:r>
    </w:p>
    <w:p>
      <w:r>
        <w:t>verankerte Grundsatz von Treu und Glauben schützt den Bürger und die Bürgerin in ihrem berechtigten Vertrauen auf behördliches Verhalten und bedeutet unter anderem , dass falsche Auskünfte von Verwaltungsbehörden unter bestimmten Voraussetzungen eine vom mate riellen Recht abweichende Behand lung der Rechtsuchenden gebieten. Gemäss Rechtsprechung und Doktrin ist eine falsche Auskunft bindend, a) wenn die Behörde in einer konkreten Situation mit Bezug auf bestimmte Personen gehan delt hat; b) wenn sie für die Erteilung der betreffenden Auskunft zuständig war oder wenn die rechtsuchende Person die Behörde aus zureichenden Gründen als zuständig betrachten durfte; c) wenn die Person die Unrichtigkeit der Auskunft nicht ohne weiteres erkennen konnte; d)</w:t>
      </w:r>
    </w:p>
    <w:p>
      <w:r>
        <w:t>wenn sie im Vertrauen auf die Richtig keit der Auskunft Dispositionen getroffen hat, die nicht ohne Nachteil rückgängig gemacht werden können; e) wenn die gesetzliche Ordnung seit der Auskunfts erteilung keine Änderung erfahren hat. Diese Regeln sind gemäss der Rechtspre chung des Bundesgerichts sinngemäss auch auf das Verhältnis zwischen Vor sorgeeinrichtung und v ersicherten Personen in der beruflichen Vorsorge anwendbar ( Urteil des Bundesgerichts B 70/05 vom 1 2. Juni 2007 E. 4.1 mit weiteren Hin weisen ).</w:t>
      </w:r>
    </w:p>
    <w:p>
      <w:r>
        <w:t>Es gilt aber auch zu beachten, dass das Bundesgericht die Frage, ob die Grundsätze des öffentlich-rechtlichen Vertrauensschutzes in der weitergehenden (über obligatorischen) Vorsorge anwend bar sind , in E. 4.2 des Urteil s</w:t>
      </w:r>
    </w:p>
    <w:p>
      <w:r>
        <w:t>9C_445/2008 vom 4. November 2008 offen gelassen und — soweit ersichtlich — auch in der Folge beziehungsweise bislang nicht ausdrücklich bejaht hat . I n der Lehre führte namentlich Pärli aus, dass der Gesetzgeber die Informationspflichten nach Art.</w:t>
      </w:r>
    </w:p>
    <w:p>
      <w:r>
        <w:t>86b BVG in die Liste der Bestim mungen, die auch im Selbständigkeitsbereich der Vorsorgeeinrichtungen anwendbar seien (vgl. Art. 49 Abs. 2 BVG), aufgenommen habe. Eine Aufteilung der Haftung aus Vertrauensschutz für den obligatorischen und überobliga to ri schen Teil der beruflichen Vorsorge sei daher nicht sachgerecht (Kurt Pärli , in: Schneider/Geiser/Gächter, BVG und FZG, 2. Aufl. 2019, N 17 zu Art. 86b BVG, mit Hinweis).</w:t>
      </w:r>
    </w:p>
    <w:p>
      <w:r>
        <w:rPr>
          <w:b/>
        </w:rPr>
        <w:t>E. 2.6</w:t>
      </w:r>
    </w:p>
    <w:p>
      <w:r>
        <w:t>Gemäss Art. 86b</w:t>
      </w:r>
    </w:p>
    <w:p>
      <w:r>
        <w:t>Abs. 1 BVG muss die Vorsorgeeinrichtung ihre Versicherten jährlich in geeigneter Form über Folgendes informieren: a. die Leistungsansprüche, den koordinierten Lohn, den Beitragssatz und das Altersguthaben; b. die Organisation und die Finanzierung; c. die Mitglieder des paritätisch besetzten Organs nach Art. 51 BVG; d. die Ausübung der Stimmpflicht als Aktionärin nach Art. 71b BVG.</w:t>
      </w:r>
    </w:p>
    <w:p>
      <w:r>
        <w:t>Auf Anfrage hin ist den Versicherten die Jahresrechnung und der Jahresbericht auszuhändigen. Ebenso hat ihnen die Vorsorgeeinrichtung auf Anfrage hin Infor mationen über den Kapitalertrag, den versicherungstechnischen Risikoverlauf, die Verwaltungskosten, die Deckungskapitalberechnung, die Reservebildung, den Deckungsgrad sowie die Grundsätze zur Ausübung der Stimmpflicht als Aktio närin ( Art. 71a BVG ) abzugeben ( Art. 86b Abs. 2 BVG).</w:t>
      </w:r>
    </w:p>
    <w:p>
      <w:r>
        <w:t>Sammel- und Gemeinschaftseinrichtungen haben das paritätisch besetzte Organ auf Anfrage hin über Beitragsausstände des Arbeitgebers zu orientieren. Die Vorsorgeeinrichtung muss das paritätisch besetzte Organ von sich aus orientieren, wenn reglementarische Beiträge innert drei Monaten nach dem vereinbarten Fälligkeitstermin noch nicht überwiesen worden sind ( Art. 86b Abs. 3 BVG).</w:t>
      </w:r>
    </w:p>
    <w:p>
      <w:r>
        <w:t>Art. 75 BVG ( Strafbestimmungen bei Übertretungen) ist anwendbar ( Art. 86b Abs. 4 BVG). 3.</w:t>
      </w:r>
    </w:p>
    <w:p>
      <w:r>
        <w:rPr>
          <w:b/>
        </w:rPr>
        <w:t>E. 3</w:t>
      </w:r>
    </w:p>
    <w:p>
      <w:r>
        <w:t>Es sei ein zweiter Schriftenwechsel durchzuführen. Unter Kosten- und Entschädigungsfolgen zu Lasten der Beschwerdegegnerin (inkl. 7.7 % MwSt.).»</w:t>
      </w:r>
    </w:p>
    <w:p>
      <w:r>
        <w:rPr>
          <w:b/>
        </w:rPr>
        <w:t>E. 3.1</w:t>
      </w:r>
    </w:p>
    <w:p>
      <w:r>
        <w:t>Der Kläger liess sich per 30. November 2021 vorzeitig pensionieren und bezog ab 1. Dezember 2021 die Altersrente (vgl. Urk. 1 S. 3</w:t>
      </w:r>
    </w:p>
    <w:p>
      <w:r>
        <w:t>und das Schrei ben der Beklagten vom 26. März 2021 , Urk. 9/11 ) . Gemäss Art. 24 Abs. 5 des Vor sorge reglements ( Urk. 2/8) ist für die Er mittlung der Höhe der Altersrente — nebst dem reglementarisch festgelegten Umwandlungssatz — das im Zeitpunkt der Pensio nierung vorhandene Spargut haben massgebend. Daraus er gibt sich, dass nach dem Bezug der Altersrente keine weitere Verzinsung mehr erfolgt und folglich auch kein Anspruch auf eine Weiterverzinsung besteht . Bis zum Bezug der Alters rente ab 1. Dezember 2021 respektive bis zum 30. November 2021 hat der Kläger aber Anspruch auf Verzinsung des Spar gut habens</w:t>
      </w:r>
    </w:p>
    <w:p>
      <w:r>
        <w:t>( Art. 22 Abs. 2 des Vorsorge regle ments ; E. 2.2).</w:t>
      </w:r>
    </w:p>
    <w:p>
      <w:r>
        <w:rPr>
          <w:b/>
        </w:rPr>
        <w:t>E. 3.2</w:t>
      </w:r>
    </w:p>
    <w:p>
      <w:r>
        <w:t>Der Stiftungsrat legte an seiner Sitzung vom 30. November 2020 den für das Jahr</w:t>
      </w:r>
    </w:p>
    <w:p>
      <w:r>
        <w:t>2021 massgebenden Zinssatz wie folgt fest :</w:t>
      </w:r>
    </w:p>
    <w:p>
      <w:r>
        <w:t>Sämtliche Alterssparguthaben aller Sparpläne der im Jahr 2021 aktiv Versicherten und der passiv Invaliden werden für das Geschäftsjahr 2021 vorerst mit 1 % verzinst (keine unter - schiedliche Behandlung des obligatorischen und des überobligatorischen Teils). Für die vor Ende Dezember 2021 austretenden oder zu pensionierenden Versicherten ist der Zinssatz von 1 % definitiv (Urk. 22).</w:t>
      </w:r>
    </w:p>
    <w:p>
      <w:r>
        <w:t>An seiner ausserordentlichen Sitzung vom 17. Januar 2022 beschloss der Stif tungsrat angesichts des guten Anlageergebnisses und des im Jahr 2021 erzielten ausserordentlichen Gewinns aufgrund der Aktualisierung der versiche rungstech nischen Grundlagen eine Zusatzverzinsung von 8 % beziehungsweise eine Gesamtverzinsung der Sparguthaben für das Jahr 2021 von 9 % (Urk. 9/2, vgl.</w:t>
      </w:r>
    </w:p>
    <w:p>
      <w:r>
        <w:t>Urk. 9/3 S. 1 ) . Darüber wurden die Mitarbeitenden der bei der Beklagten ange schlossenen Arbeitgeber am 20. Januar 2022 informiert und darauf hingewiesen, dass alle Mitarbeitenden, die per 31. Dezember 2021 bei der Beklagten versichert waren, in den Genuss der Zusatzverzinsung von 8 % kommen (Urk. 9/3). 3. 3</w:t>
      </w:r>
    </w:p>
    <w:p>
      <w:r>
        <w:t>D er Kläger leitet aus Art. 22 des Vorsorgereglements, welcher die Regelung zum Zinssatz für das Sparkonto enthält</w:t>
      </w:r>
    </w:p>
    <w:p>
      <w:r>
        <w:t>(E.</w:t>
      </w:r>
    </w:p>
    <w:p>
      <w:r>
        <w:t>2.2) , ab, dass die Zusatzver zinsung ( zumindest ) pro rata temporis seinem Sparguthaben gutge schrieben werden müsse (Urk. 1 S.</w:t>
      </w:r>
    </w:p>
    <w:p>
      <w:r>
        <w:t>6, S. 11, Urk. 14 S. 3).</w:t>
      </w:r>
    </w:p>
    <w:p>
      <w:r>
        <w:t>Gemäss Art.</w:t>
      </w:r>
    </w:p>
    <w:p>
      <w:r>
        <w:t>22 Abs. 1 Satz 3 des Vorsorgereg lements</w:t>
      </w:r>
    </w:p>
    <w:p>
      <w:r>
        <w:t>kann</w:t>
      </w:r>
    </w:p>
    <w:p>
      <w:r>
        <w:t>der Stiftungsrat für das lau fende Jahr einen provi - sorischen Zinssatz fest legen, der dann auch rückwirkend angepasst werden kann. Wie schon in früheren Jahren (vgl. Urk. 9/5-7) , hat der Stiftungsrat der Beklagten auch bezüg lich des Jahres 2021 von dieser Kompe tenz Gebrauch gemacht und prospektiv eine Verzinsung von 1 % festgelegt</w:t>
      </w:r>
    </w:p>
    <w:p>
      <w:r>
        <w:t>( E. 3.2 ).</w:t>
      </w:r>
    </w:p>
    <w:p>
      <w:r>
        <w:t>Mit dem Beschluss vom 17.</w:t>
      </w:r>
    </w:p>
    <w:p>
      <w:r>
        <w:t>Januar 2022</w:t>
      </w:r>
    </w:p>
    <w:p>
      <w:r>
        <w:t>hat er die Gesamtverzinsung auf 9 % erhöht und damit den provisorischen Zinssatz — wie es ihm das Reglement ermöglicht — rückwirkend angepasst. Im Reglement wird</w:t>
      </w:r>
    </w:p>
    <w:p>
      <w:r>
        <w:t>in Art. 22 Abs. 1 Satz 2 weiter festgehalten, dass der Stiftungsrat unter schied liche Zinssätze festlegen kann , so namentlich für den obligatorischen und den überob ligatorischen Teil des Sparguthabens . Das s es sich dabei nur um ein Beispiel handelt , ergibt sich aus der Verwendung des Wortes «namentlich». Das Vorsorge re glements lässt es somit zu, dass der Stiftungsrat die retrospektiv festgelegt e Zusatzver zinsung so regel t , wie er es im vorliegenden Fall für das Jahr 2021 getan hat : Die Zusatzverzinsung gilt nur für die Sparguthaben derjenigen Personen, die per 31.</w:t>
      </w:r>
    </w:p>
    <w:p>
      <w:r>
        <w:t>Dezember 2021 bei der Beklagten vorsorge - versichert waren. Oder anders gesagt: D er Kläger und die weiteren Personen, die während des Jahres 2021 aus dem Kreis der aktiven</w:t>
      </w:r>
    </w:p>
    <w:p>
      <w:r>
        <w:t>V ersicherten ausgeschieden sind, haben</w:t>
      </w:r>
    </w:p>
    <w:p>
      <w:r>
        <w:t>keinen Anspruch auf</w:t>
      </w:r>
    </w:p>
    <w:p>
      <w:r>
        <w:t>die am 17. Januar 2022 beschlossene Zusatz - verzinsung der Spar guthaben in der Höhe von 8 % (Urk. 9/2) . In diesem Zusam menhang hat nament lich</w:t>
      </w:r>
    </w:p>
    <w:p>
      <w:r>
        <w:t>Glanzmann- Tarnutzer</w:t>
      </w:r>
    </w:p>
    <w:p>
      <w:r>
        <w:t>festgehalten, es sei nicht notwendig, dass sich der (in der Regel prospektiv) festgelegte Zins für versicherte Personen, die unterjährig aus der Pensionskasse austreten, un d der (mehrheitlich retrospektiv) festgelegte Zins für die Verbleibenden entsprechen , solange das Reglement für eine Differen zierung Raum biete ( Lucrezia Glanzmann- Tarnutzer , Die Verzinsung des Alters guthabens in der überobligatorischen Vorsorge, AJP</w:t>
      </w:r>
    </w:p>
    <w:p>
      <w:r>
        <w:t>2015 , S. 1627 ff., S. 1631 , mit Hinweisen ) . Letzteres ist hier — wie ausgeführt — gegeben. Gemäss Stauffer ist es für die Vorsorge einrichtung bei einer retrospek tiven Festlegung des Zins satzes unumgänglich, für Versicherte, die unter dem Jahr austreten, einen Zins satz für die Verzinsung der Altersguthabens bis zum Austritt festzulegen. Dies habe zur Folge, dass bezüglich Verzinsung der Alters guthabe n eine Ungleich be handlung von Austretenden und Verbleibenden erfolge ( Hans-Ulrich Stauffer, in: BSK BVG, Basel 2020, N 29 zu Art.</w:t>
      </w:r>
    </w:p>
    <w:p>
      <w:r>
        <w:rPr>
          <w:b/>
        </w:rPr>
        <w:t>E. 3.3</w:t>
      </w:r>
    </w:p>
    <w:p>
      <w:r>
        <w:t>des erwähnten Urteils). Daraus erhellt ohne weiteres, dass diese Erwä - gungen für den Bezug einer Altersrente nicht gelten.</w:t>
      </w:r>
    </w:p>
    <w:p>
      <w:r>
        <w:t>Gestützt auf das Vorsorgereglement hat der Kläger, der sich per 3 0. November 2021 vorzeitig pensionieren liess, demnach keinen Anspruch auf die retrospektiv festgelegte Zusatzverzinsung für das Jahr 2021 .</w:t>
      </w:r>
    </w:p>
    <w:p>
      <w:r>
        <w:rPr>
          <w:b/>
        </w:rPr>
        <w:t>E. 3.5</w:t>
      </w:r>
    </w:p>
    <w:p>
      <w:r>
        <w:t>2 ).</w:t>
      </w:r>
    </w:p>
    <w:p>
      <w:r>
        <w:t>Mit Blick auf die Korrespondenz vom Frühling 2021 (Urk.</w:t>
      </w:r>
    </w:p>
    <w:p>
      <w:r>
        <w:t>9/8-13) konnte von der Beklagte n respektive von ihrer Mitarbeiterin nicht erwartet werden, dass sie den Pen sionierungsplan bezüglich des Pensionierungs datums in Frage stell t , denn dieser Plan lässt sich nur so verstehen, dass der Kläger das angestrebte Ziel der vorzeitigen</w:t>
      </w:r>
    </w:p>
    <w:p>
      <w:r>
        <w:t>P ensionierung per 3 0. November 2021 erreichen wollte.</w:t>
      </w:r>
    </w:p>
    <w:p>
      <w:r>
        <w:t>Bei dieser Sachlage ist es nicht zu beanstanden, dass die Sachbearbeiterin der Beklagten den Kläger nicht auf die Möglichkeit der Zusatz verzinsung hinge wiesen hat.</w:t>
      </w:r>
    </w:p>
    <w:p>
      <w:r>
        <w:t>Der Kläger dringt mit seinen Vorbringen zum Vertrauensschutz somit so oder anders n icht durch . Demnach kann offen bleiben, ob die Grundsätze des öffentlich-recht lichen Vertrauensschutzes bezüglich der</w:t>
      </w:r>
    </w:p>
    <w:p>
      <w:r>
        <w:t>dem Bereich der überobligato rischen Vorsorge zuzuordnen den, gestützt auf das Reglement gewährten Zusatz verzinsung</w:t>
      </w:r>
    </w:p>
    <w:p>
      <w:r>
        <w:t>überhaupt anwendbar sind .</w:t>
      </w:r>
    </w:p>
    <w:p>
      <w:r>
        <w:rPr>
          <w:b/>
        </w:rPr>
        <w:t>E. 3.6</w:t>
      </w:r>
    </w:p>
    <w:p>
      <w:r>
        <w:t>Zusammenfassend ist festzuhalten, dass Art. 22 Abs. 1 des Vorsorgereglements der Beklagten bezüglich Verzinsung Raum für eine unterschiedliche Behandlung der unter dem Jahr pensionierten Personen und während des ganzen Jahres versicherten Personen bietet. Eine solche Unter scheidung verstösst nach der bundes gerichtlichen Rechtsprechung nicht gegen den Gleichbehandlungs grundsatz. Der Kläger liess sich per 30. November 2021 vorzeitig pen sionieren , weshalb der vom Stiftungsrat prospektiv festgesetzte Zinssatz von 1 % zur Anwendung kommt . Und schliesslich musste auch im vor lie genden Fall die Frage, ob die Grund sätze des öffentlich-rechtlichen Vertrauens schutzes in der über - obligatorischen Vorsorge zur An wendung kommen, nicht beant wortet werden, da den diesbezüg lichen Vorbringen des Klägers so oder anders nicht gefolgt werden könnte .</w:t>
      </w:r>
    </w:p>
    <w:p>
      <w:r>
        <w:t>Diese Erwägungen führen zur Abweisung der Klage. 4.</w:t>
      </w:r>
    </w:p>
    <w:p>
      <w:r>
        <w:t>Der Beklagten steht in ihrer Funktion als Trägerin der beruflichen Vorsorge trotz ihres Obsiegens keine Prozessentschädigung zu (§ 34 Abs. 2 GSVGer ; vgl. statt vieler: BGE 128 V 124 E. 5b). Das Gericht erkennt: 1.</w:t>
      </w:r>
    </w:p>
    <w:p>
      <w:r>
        <w:t>Die Klage wird abgewiesen. 2.</w:t>
      </w:r>
    </w:p>
    <w:p>
      <w:r>
        <w:t>Das Verfahren ist kostenlos. 3.</w:t>
      </w:r>
    </w:p>
    <w:p>
      <w:r>
        <w:t>Der Beklagten wird keine Prozessentschädigung zugesprochen. 4.</w:t>
      </w:r>
    </w:p>
    <w:p>
      <w:r>
        <w:t>Zustellung gegen Empfangsschein an: - Rechtsanwältin Susanne Friedauer - Rechtsanwältin Dr. Isabelle Vetter-Schreiber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8</w:t>
      </w:r>
    </w:p>
    <w:p>
      <w:r>
        <w:t>S. 2) .</w:t>
      </w:r>
    </w:p>
    <w:p>
      <w:r>
        <w:rPr>
          <w:b/>
        </w:rPr>
        <w:t>E. 11</w:t>
      </w:r>
    </w:p>
    <w:p>
      <w:r>
        <w:t>Abs. 1 des Vorsorgereglements) . Bei versicherten Personen, deren Arbeitsverhältnis nach dem 58.</w:t>
      </w:r>
    </w:p>
    <w:p>
      <w:r>
        <w:t>Geburtstag aufge löst wird, erfolgt eine vorzeitige Pensionierung ( Art. 24 Abs.</w:t>
      </w:r>
    </w:p>
    <w:p>
      <w:r>
        <w:t>2 Satz 1</w:t>
      </w:r>
    </w:p>
    <w:p>
      <w:r>
        <w:t>des Vorsor gereglements ). Die Höhe der</w:t>
      </w:r>
    </w:p>
    <w:p>
      <w:r>
        <w:t>Altersrente ergibt sich aus der Multiplikation des im Zeitpunkt der Pensionierung vorhandenen Spar gut habens mit dem reglementa risch festgelegten Umwandlungssatz</w:t>
      </w:r>
    </w:p>
    <w:p>
      <w:r>
        <w:t>(Art.</w:t>
      </w:r>
    </w:p>
    <w:p>
      <w:r>
        <w:t>24 Abs.</w:t>
      </w:r>
    </w:p>
    <w:p>
      <w:r>
        <w:t>5 des Vorsorgereglements ) .</w:t>
      </w:r>
    </w:p>
    <w:p>
      <w:r>
        <w:rPr>
          <w:b/>
        </w:rPr>
        <w:t>E. 15</w:t>
      </w:r>
    </w:p>
    <w:p>
      <w:r>
        <w:t>unter Hin weis auf den erwähnten Aufsatz von Glanzmann- Tarnutzer ) . Dass eine solche Un gleich behandlung bezie hungs weise die Festsetzung von divergierende n Zins sätze n für unterjährig aus tretende und ganzjährig verbleibende Ver sicherte</w:t>
      </w:r>
    </w:p>
    <w:p>
      <w:r>
        <w:t>vor dem</w:t>
      </w:r>
    </w:p>
    <w:p>
      <w:r>
        <w:t>Rechts gleichheitsgebot (E. 2.1.2)</w:t>
      </w:r>
    </w:p>
    <w:p>
      <w:r>
        <w:t>standhält, läss t sich auch aus dem eingangs zi tierten, als BGE 140 V 169 publizierten Urteil des Bundesgerichts ableiten (E. 2.1.3). Wie bei unterjährig aus der Vorsorgeeinrichtung austretenden Versicherten kann bei einer Pensionie rung im Verlauf des Jahres</w:t>
      </w:r>
    </w:p>
    <w:p>
      <w:r>
        <w:t>mit der Zins - gutschrift nicht bis zum Ablauf des Kalenderjahres zugewartet werden, da der Anspruch auf die Altersrente am Ersten des Monats nach der Pensionierung entsteht. Eine Verpflichtung, die Altersrente zunächst gestützt auf einen provisorischen Zins zu berechnen und später zu korrigieren, würde — wie das Bundesgericht betreffend Austrittsleistung erwogen hat — einen erheblichen Mehraufwand und damit nicht unbedeutende Kosten bei der Vorsorgeeinrichtung verursachen. Zudem bestünde für die Versicherten bei der Pensionierung eine nicht zu rechtfertigende Unsicherheit über ihren künftigen Rentenanspruch, welcher</w:t>
      </w:r>
    </w:p>
    <w:p>
      <w:r>
        <w:t>bei einer nachträglichen Korrektur nicht nur höher, sondern auch tiefer ausfallen könnte.</w:t>
      </w:r>
    </w:p>
    <w:p>
      <w:r>
        <w:t>3. 4</w:t>
      </w:r>
    </w:p>
    <w:p>
      <w:r>
        <w:t>Entgegen der Ansicht des Kläger s ( Urk. 1 S. 6 )</w:t>
      </w:r>
    </w:p>
    <w:p>
      <w:r>
        <w:t>lässt sich auch aus Art. 22 Abs. 2 des Vorsorgereglements , wonach</w:t>
      </w:r>
    </w:p>
    <w:p>
      <w:r>
        <w:t>die Verzinsung bei unterjährigen Ein - und Austritten und Einmaleinlagen pro rata temporis erfolgt, kein Anspruch auf die Zusatzverzinsung ableiten. Gleiches gilt für das Urteil des</w:t>
      </w:r>
    </w:p>
    <w:p>
      <w:r>
        <w:t>Bundesgerichts 9C_98/2012 vom 2 2. Oktober 2012 , auf welches sich der Kläger beruft ( Urk. 1 S. 7, Urk.</w:t>
      </w:r>
    </w:p>
    <w:p>
      <w:r>
        <w:t>14 S.</w:t>
      </w:r>
    </w:p>
    <w:p>
      <w:r>
        <w:t>4) . In diesem Urteil war die Verzinsungsfrage beim Bezug des Alterskapitals in sogenannten Altersraten — was in jenem Fall aufgrund des Reglements möglich war — zu beurteilen. Im Unterschied zur Leistungsform Altersrente verblieben beim Bezug einer Altersrate die Vorsorgekapitalien auch bei einer Pensionierung unter dem Jahr während des ganzen Jahres in der Vorsorgeeinrichtung (angelegt) und die Verzinsung war von der erzielten Perfor mance abhängig . D as Bundesgericht erwog, d iese Ausgestaltung des Vorsorge werks, der sich der Versicherte im Falle der Pensionierung mit der Wahl der Altersrate weiterhin freiwillig unterstellt habe , lasse die Verzinsung für das ganze Jahr (und nicht nur pro rata ) aufgrund der erzielten Performance als sachge - recht</w:t>
      </w:r>
    </w:p>
    <w:p>
      <w:r>
        <w:t>und für die Gleichbehandlung der Anlagerisikogemeinschaft als geboten erscheinen. Bei Pensionierung unter dem Jahr und Weiterverbleib in der Anlagerisikogemeinschaft sei die Verzinsung somit nicht pro rata vorzunehmen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