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BV.2022.00098 vom 30. Mai 2023</w:t>
      </w:r>
    </w:p>
    <w:p>
      <w:r>
        <w:t>ZH Sozialversicherungsgericht, 2023-05-30, DE</w:t>
      </w:r>
    </w:p>
    <w:p>
      <w:r>
        <w:rPr>
          <w:b/>
        </w:rPr>
        <w:t xml:space="preserve">Quelle: </w:t>
      </w:r>
      <w:r>
        <w:t>https://mcp.opencaselaw.ch/entscheid/zh_sozialversicherungsgericht_BV.2022.00098</w:t>
      </w:r>
    </w:p>
    <w:p>
      <w:r>
        <w:t>FR: ZH_SOZIALVERSICHERUNGSGERICHT BV.2022.00098 du 30 mai 2023</w:t>
      </w:r>
    </w:p>
    <w:p>
      <w:r>
        <w:t>IT: ZH_SOZIALVERSICHERUNGSGERICHT BV.2022.00098 del 30 maggio 2023</w:t>
      </w:r>
    </w:p>
    <w:p>
      <w:pPr>
        <w:pStyle w:val="Heading2"/>
      </w:pPr>
      <w:r>
        <w:t>Erwägungen</w:t>
      </w:r>
    </w:p>
    <w:p>
      <w:r>
        <w:rPr>
          <w:b/>
        </w:rPr>
        <w:t>E. 1</w:t>
      </w:r>
    </w:p>
    <w:p>
      <w:r>
        <w:t>» des Betreibungsamtes Y.___ aufgeführten Betreibungs spesen von Fr. 300.-- (neben den Kosten des Zahlungsbefehls), die unter Ziffer 2.2 des Kostenreglements fallen, die geforderten Verzugszinsen ihre Grundlage in Art. 66 Abs. 2 Satz 2 BVG, Ziffer 12 des Anschlussvertrags sowie Art. 102 in Verbindung mit Art. 104 Abs. 1 des Bundesgesetz es betreffend die Ergänzung des Schweizerischen Zivilgesetzbuches (Fünfter Teil: Obligationenrecht, OR) haben und nicht zu beanstanden sind,</w:t>
      </w:r>
    </w:p>
    <w:p>
      <w:r>
        <w:t>wobei mangels Bestreitung offen bleiben kann, ob die Parteien eine vertragliche Abrede getroffen haben, die das Abweichen von Zinseszinsverbot (Art. 105 Abs. 3 OR) erlaubt (vgl. Urk. 2/5), gemäss dem klaren Wortlaut von Art. 66 Abs. 2 BVG nur für nicht rechtzeitig bezahlte Beiträge Verzugszinsen erhoben werden können , diese Bestimmung zwar auch die ordentlichen Verwaltungskosten umfasst (BGE 124 II 570 E. 2f; Art. 65 Abs. 3 BVG in Verbindung mit Art. 48a der Verordnung über die berufliche Alters-, Hinterlassenen- und Invalidenvorsorge, BVV 2), welche im Sinne von Art. 66 Abs. 1 BVG (ebenfalls) paritätisch zu leisten und durch die Beiträge der Arbeit nehmer und Arbeitgeber zu finanzieren sind , davon hingegen nicht a usserordent liche administrative Umtriebe erfasst werden, die einzig und allein zu Lasten der säumigen Arbeitgeber gehe n (und den G esetzesmaterial i en zu Art. 66 BVG nichts anderes zu entnehmen ist; vgl. hierzu im Detail Urteil des Bundesgerichts 9C_180/2019 vom 2. März 2020 E. 3.2.1 ), weshalb für die geltend ge machten Verzugszinsen auf den Mahnkosten von insgesamt Fr. 500.-- und die Kosten für die Vertragsauflösung</w:t>
      </w:r>
    </w:p>
    <w:p>
      <w:r>
        <w:t>von Fr. 500.-- (Urk. 2/5) weder eine gesetzliche noch eine reglementarische (vgl. Urk. 2/ 1, insbesondere Anschlussvertrag Ziff. 12 und Urk. 2/3) Grundlage besteht, die Klägerin die Zahlungsbefehlskosten von Fr. 103.30 für den Zahlungsbefehl vom 19. Oktober 2022 in der Betreibung Nr. «1» des Betreibungsamtes Y.___ zu Recht nicht einklagte, da diese gemäss ständiger Rechtsprechung nicht im vorliegenden Verfahren zuzusprechen sind, weil gemäss Art. 68 Abs. 2 des Bundesgesetz es über Schuldbetreibung und Konkurs (SchKG) von den Zahlungen des Schuldners die Kosten vorab erhoben werden können (vgl. etwa das Urteil des damaligen Eidgenössischen Versicherungsgerichts B 61/00 vom 26. September 2001 E. 5; vgl. auch BGE 144 III 360 E. 3.6.2), die Beklagte somit in teilweiser Gutheissung der Klage zu verpflichten ist, der Klägerin Fr. 69'853.45 nebst Zins zu 5 % auf Fr. 68'853.45 seit 1. Oktober 2022 und Zinsen bis 30. September 2022 in der Höhe von Fr. 985.10 sowie Fr. 300.-- ( Inkasso massnahmekosten für die Einleitung der Betreibung) zu bezahlen, der in der Betreibung Nr. «1» des Betreibungsamtes Y.___ erhobene Rechtsvorschlag (Zahlungsbefehl vom 19. Oktober 2022 [Urk. 2/10]) in diesem Umfang aufzuheben ist, in weiterer Erwägung, dass das unbegründete Erheben eines Rechtsvorschlages gegen offensichtlich zu Recht in Betreibung gesetzte Beitragsforderungen verbunden mit der Säumigkeit im nach folgenden Prozess nach ständiger Praxis des hiesigen Gerichts als mutwilliges Verhalten im Sinne von § 33 Abs. 2 des Gesetz es über das Sozialversicherungs gericht ( GSVGer ) zu qualifizieren ist, weshalb es sich rechtfertigt, der Beklagten, welche ihre Behauptungen im vorliegenden Verfahren weder substantiiert vortrug noch belegte, die Kosten dieses Verfahrens in Höhe von Fr. 1'</w:t>
      </w:r>
    </w:p>
    <w:p>
      <w:r>
        <w:rPr>
          <w:b/>
        </w:rPr>
        <w:t>E. 5</w:t>
      </w:r>
    </w:p>
    <w:p>
      <w:r>
        <w:t>00.-- aufzuerlegen (vgl. § 2 der Verordnung über die Gebühren, Kosten und Entschädigungen vor dem Sozialversicherungsgericht [ GebV</w:t>
      </w:r>
    </w:p>
    <w:p>
      <w:r>
        <w:t>SVGer ] ) , Trägerinnen oder Versicherer der beruflichen Vorsorge gemäss BVG grundsätzlich keinen Anspruch auf eine Parteientschädigung haben (BGE 126 V 143 E. 4a mit Hinweisen), vorliegend jedoch das Verhalten der Beklagten als mutwillig zu qua lifizieren ist, weshalb sie in Anwendung von § 34 Abs. 1 GSVGer zu verpflichten ist, der fast vollumfänglich obsiegen den Klägerin eine deren Aufwand angemessene Prozessentschädigung in der Höhe von Fr.</w:t>
      </w:r>
    </w:p>
    <w:p>
      <w:r>
        <w:rPr>
          <w:b/>
        </w:rPr>
        <w:t>E. 7</w:t>
      </w:r>
    </w:p>
    <w:p>
      <w:r>
        <w:t>00.-- (inkl. Barauslagen und MWSt ) zu bezahlen, erkennt das Gericht: 1.</w:t>
      </w:r>
    </w:p>
    <w:p>
      <w:r>
        <w:t>In teilweiser Gutheissung der Klage wird die Beklagte verpflichtet, der Klägerin</w:t>
      </w:r>
    </w:p>
    <w:p>
      <w:r>
        <w:t>Fr. 69'853.45 nebst Zins zu 5 % auf Fr. 68'853.45 seit dem 1. Oktober 2022</w:t>
      </w:r>
    </w:p>
    <w:p>
      <w:r>
        <w:t>und Zinsen bis 30. September 2022 in der Höhe von Fr. 985.10 sowie Fr. 300.-- ( Inkasso massnahme kosten ) zu bezahlen, und es wird der Rechtsvorschlag in der Betreibung Nr. «1» des Betreibungsamtes Y.___ (Zahlungsbefehl vom 19. Oktober 2022 ) in diesem Umfang aufgehoben. 2.</w:t>
      </w:r>
    </w:p>
    <w:p>
      <w:r>
        <w:t>Die Gerichtskosten von Fr. 1’500 .-- werden der Beklagten auferlegt.</w:t>
      </w:r>
    </w:p>
    <w:p>
      <w:r>
        <w:t>Rechnung und Einzahlungsschein werden der Kostenpflichtigen nach Eintritt der Rechtskraft zuge stellt. 3.</w:t>
      </w:r>
    </w:p>
    <w:p>
      <w:r>
        <w:t>Die Beklagte wird verpflichtet, der Klägerin eine Prozessentschädigung von Fr. 700 .-- (inkl. Barauslagen und MWSt ) zu bezahlen. 4.</w:t>
      </w:r>
    </w:p>
    <w:p>
      <w:r>
        <w:t>Zustellung gegen Empfangsschein an: - Sammelstiftung Vita - X.___ AG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 i.V.Die Gerichtsschreiberin PhilippR.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