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BV.2022.00064 vom 29. Juni 2023</w:t>
      </w:r>
    </w:p>
    <w:p>
      <w:r>
        <w:t>ZH Sozialversicherungsgericht, 2023-06-29, DE</w:t>
      </w:r>
    </w:p>
    <w:p>
      <w:r>
        <w:rPr>
          <w:b/>
        </w:rPr>
        <w:t xml:space="preserve">Quelle: </w:t>
      </w:r>
      <w:r>
        <w:t>https://mcp.opencaselaw.ch/entscheid/zh_sozialversicherungsgericht_BV.2022.00064</w:t>
      </w:r>
    </w:p>
    <w:p>
      <w:r>
        <w:t>FR: ZH_SOZIALVERSICHERUNGSGERICHT BV.2022.00064 du 29 juin 2023</w:t>
      </w:r>
    </w:p>
    <w:p>
      <w:r>
        <w:t>IT: ZH_SOZIALVERSICHERUNGSGERICHT BV.2022.00064 del 29 giugno 2023</w:t>
      </w:r>
    </w:p>
    <w:p>
      <w:pPr>
        <w:pStyle w:val="Heading2"/>
      </w:pPr>
      <w:r>
        <w:t>Erwägungen</w:t>
      </w:r>
    </w:p>
    <w:p>
      <w:r>
        <w:rPr>
          <w:b/>
        </w:rPr>
        <w:t>E. 1</w:t>
      </w:r>
    </w:p>
    <w:p>
      <w:r>
        <w:t>S. 2 und Urk. 2/3). Per 1. Januar 2020 wechselte die</w:t>
      </w:r>
    </w:p>
    <w:p>
      <w:r>
        <w:t>Y.___ AG die Vorsorgeeinrichtung und schloss sich der Swiss staffing BVG-LLP Stiftung 2. Säule (nachfolgend: S wi ssstaffing ) an ( Urk.</w:t>
      </w:r>
    </w:p>
    <w:p>
      <w:r>
        <w:t>11/1 ). Im Hinblick auf den Eintritt ins ordentliche AHV-Rentenalter verlangte die Ver sicherte von der Swissstaffing die Ausrichtung einer Kapitala bfindung . Mit Schreiben vom 1 9. April</w:t>
      </w:r>
    </w:p>
    <w:p>
      <w:r>
        <w:t>2022 verneinte die Swissstaffing einen entsprechenden Anspruch ( Urk. 2/1).</w:t>
      </w:r>
    </w:p>
    <w:p>
      <w:r>
        <w:rPr>
          <w:b/>
        </w:rPr>
        <w:t>E. 1.2</w:t>
      </w:r>
    </w:p>
    <w:p>
      <w:r>
        <w:t>Nach Art. 11 Abs. 3 bis Satz 1 des Bundesgesetzes über die berufliche Alters-, Hinterlassenen- und Invalidenvorsorge (BVG) erfolgt die Auflösung eines bestehen den Anschlusses an eine Vorsorgeeinrichtung und der Wiederanschluss an eine neue Vorsorgeeinrichtung durch den Arbeitgeber im Einverständnis mit dem Per sonal oder der allfälligen Arbeitnehmervertretung. 1 .</w:t>
      </w:r>
    </w:p>
    <w:p>
      <w:r>
        <w:rPr>
          <w:b/>
        </w:rPr>
        <w:t>E. 2</w:t>
      </w:r>
    </w:p>
    <w:p>
      <w:r>
        <w:t>BVV 2 ist das auf die Teilinvalidität entfallende Altersgut haben nach Artikel 14 zu behandeln . Das auf die weitergeführte Erwerbstätigkeit entfallende Altersguthaben ist dem Altersguthaben eines voll erwerbstätigen Ver sicherten gleichgestellt und wird bei Beendigung des Arbeitsverhältnisses nach den Artikeln 3–5 des Bundesgesetzes über die Freizügigkeit in der beruflichen Alters-, Hinterlassenen- und Invalidenvorsorge ( FZG ) behandel t.</w:t>
      </w:r>
    </w:p>
    <w:p>
      <w:r>
        <w:rPr>
          <w:b/>
        </w:rPr>
        <w:t>E. 2.1</w:t>
      </w:r>
    </w:p>
    <w:p>
      <w:r>
        <w:t>Die Klägerin brachte zur Begründung ihrer Klage vor, dass</w:t>
      </w:r>
    </w:p>
    <w:p>
      <w:r>
        <w:t>die</w:t>
      </w:r>
    </w:p>
    <w:p>
      <w:r>
        <w:t>Y.___ AG</w:t>
      </w:r>
    </w:p>
    <w:p>
      <w:r>
        <w:t>die Vorsorgeeinrichtung ohne Kenntnis der Klägerin</w:t>
      </w:r>
    </w:p>
    <w:p>
      <w:r>
        <w:t>gewech selt habe. Gemäss Reglement der Swiss Life hätte die Klägerin beim Eintritt in s AHV-Alter die zu jenem Zeitpunkt existierende Freizügigkeitsleistung statt als Rente als Kapital beziehen können. Dies habe sie auch stets im Auge behalten. Umso grösser sei ihre Überraschung gewesen, als die Beklagte dieses Ansinnen mit dem Hinweis auf ihre Statuten verweigert habe. Indem die Beklagte sich wei gere, die Kapitalabfindung auszurichten, verletze sie Art. 3 7</w:t>
      </w:r>
    </w:p>
    <w:p>
      <w:r>
        <w:t>Abs. 2 BVG. Ebenso verletze die Beklagte die Be standes garantie , da die Klägerin im obligatorischen Bereich über einen Anspruch auf Kapitalauszahlung verfüge . Dieses wohler worbene Recht könne durch den Versichererwechsel nicht untergehen , zumal sie das Mitwirkungsrecht nicht (rechtzeitig)</w:t>
      </w:r>
    </w:p>
    <w:p>
      <w:r>
        <w:t>habe ausüben können. Im Weiteren habe die Beklagte keinen ausdrücklichen und eindeutigen Ausschluss der Kapital zahlung beim Eintritt ins AHV-Alter stipuliert. In Art. 26 ihrer Statuten</w:t>
      </w:r>
    </w:p>
    <w:p>
      <w:r>
        <w:t>werde</w:t>
      </w:r>
    </w:p>
    <w:p>
      <w:r>
        <w:t>die Kapitalauszahlung nur für die aktiv Versicherten geregelt. Über die Teilrente und deren Bezüger existiere in den Statuten keine Regelung. Gestützt auf Art. 33 des Bundesgesetzes über den Versicherungsvertrag (VVG) respektive nach der Unklarheit s regel könne sich die Beklagte damit</w:t>
      </w:r>
    </w:p>
    <w:p>
      <w:r>
        <w:t>nicht auf den Ausschluss der Kapitalauszahlung berufen. Die Beklagte sei verpflichtet, die Leistungen gemäss den (ursprünglichen) Statuten in Kapitalform auszurichten ( Urk. 1 und Urk. 14 ).</w:t>
      </w:r>
    </w:p>
    <w:p>
      <w:r>
        <w:rPr>
          <w:b/>
        </w:rPr>
        <w:t>E. 2.2</w:t>
      </w:r>
    </w:p>
    <w:p>
      <w:r>
        <w:t>Die Beklagte machte demgegenüber geltend, dass sie die aktiv Versicherten und die invaliden Rentnerinnen und Rentner der Y.___ AG per 1. Januar 2020 von der Swiss Life übernommen habe. Deren Ansprüche würden sich daher neu nach dem Reglement der Beklagten richten. Bei einem Wechsel der Vorsorgeeinrichtung seien lediglich die effektiv erworbenen Rechts ansprüche gesetzlich geschützt, nicht jedoch die anwartschaftlichen Leistungen . Am 3. September 2021 sei der Klägerin</w:t>
      </w:r>
    </w:p>
    <w:p>
      <w:r>
        <w:t>der Versicherungsausweis per 1. Januar 2020 zugestellt worden. Darin sei vermerkt worden, dass für eine Versicherte, welche eine Invalidenrente bezieh e , die Kapitalauszahlung der Altersleistungen ausgeschlossen sei . Gemäss Art.</w:t>
      </w:r>
    </w:p>
    <w:p>
      <w:r>
        <w:rPr>
          <w:b/>
        </w:rPr>
        <w:t>E. 3</w:t>
      </w:r>
    </w:p>
    <w:p>
      <w:r>
        <w:t>.3</w:t>
      </w:r>
    </w:p>
    <w:p>
      <w:r>
        <w:t>Auch wenn ein Anspruch auf Kapitalabfindung während längerer Zeit bestanden hat (in casu 19 Jahre), kann nicht von einem wohlerworbenen Recht ausge - gangen werden. Die Abänderung der Statuten verletzt das Willkürverbot nicht (SZS 1997, 51 E. 3; Stauffer, Rechtsprechung des Bundesgerichts zur beruflichen Vor sorge, 4. Auflage, 2019, S. 162). 1 .</w:t>
      </w:r>
    </w:p>
    <w:p>
      <w:r>
        <w:rPr>
          <w:b/>
        </w:rPr>
        <w:t>E. 3.1</w:t>
      </w:r>
    </w:p>
    <w:p>
      <w:r>
        <w:t>Vorab ist darauf hinzuweisen, dass es sich bei der der Klägerin gestützt auf einen Invaliditätsgrad von 30 % ausgerichteten Invalidenrente der beruflichen Vor sorge</w:t>
      </w:r>
    </w:p>
    <w:p>
      <w:r>
        <w:t>um eine überobligatorische</w:t>
      </w:r>
    </w:p>
    <w:p>
      <w:r>
        <w:t>Leistung handelt , da gemäss Art. 24 Abs. 1 lit.</w:t>
      </w:r>
    </w:p>
    <w:p>
      <w:r>
        <w:t>d BVG (in der bis zum 3 1. Dezember 2021 gültigen Fassung) bzw. gemäss Art.</w:t>
      </w:r>
    </w:p>
    <w:p>
      <w:r>
        <w:t>24a Abs. 4 BVG (in der seit dem 1. Januar 2022 gültigen Fassung ) erst ab einem Invaliditätsgrad von 40</w:t>
      </w:r>
    </w:p>
    <w:p>
      <w:r>
        <w:t>% ein gesetzlicher Anspruch auf eine Teil- Invali denrente</w:t>
      </w:r>
    </w:p>
    <w:p>
      <w:r>
        <w:t>besteht.</w:t>
      </w:r>
    </w:p>
    <w:p>
      <w:r>
        <w:rPr>
          <w:b/>
        </w:rPr>
        <w:t>E. 3.2</w:t>
      </w:r>
    </w:p>
    <w:p>
      <w:r>
        <w:t>Gemäss Anschlussvereinbarung vom 2 7. November 2019 verpflichtete sich die Beklagte, die festangestellten Mitarbeiter der Y.___ AG ab dem 1. Januar 2020 für die berufliche Alters-, Hinterlassenen- und Invaliden vorsorge zu versichern</w:t>
      </w:r>
    </w:p>
    <w:p>
      <w:r>
        <w:t>( Art. 1 Abs. 1). Weiter wurde vereinbart , dass die Beklagte den bei der bisherigen Vorsorgeeinrichtung versicherten Bestand der Rentenbe züger des Arbeitgebers</w:t>
      </w:r>
    </w:p>
    <w:p>
      <w:r>
        <w:t>mit Ausnahme der invaliden Versicherten nicht über nehme ( Art. 1 Abs. 3; Urk. 11/1).</w:t>
      </w:r>
    </w:p>
    <w:p>
      <w:r>
        <w:t>Anhaltspunkte dafür, dass das Personal oder die Arbeitnehmervertretung der Y.___ AG de r Auflösung der Anschlussvereinbarung mit der</w:t>
      </w:r>
    </w:p>
    <w:p>
      <w:r>
        <w:t>früheren Vorsorgeeinrichtung Swiss Life</w:t>
      </w:r>
    </w:p>
    <w:p>
      <w:r>
        <w:t>nicht zugestimmt haben könnten, sind nicht gegeben. Rentenbezügerinnen wie die Klägerin gehören nicht zum Personal im Sinne von Art.</w:t>
      </w:r>
    </w:p>
    <w:p>
      <w:r>
        <w:rPr>
          <w:b/>
        </w:rPr>
        <w:t>E. 3.4</w:t>
      </w:r>
    </w:p>
    <w:p>
      <w:r>
        <w:t>Der Freizügigkeitspolice der Swiss Life per 1 9. August 2012 ist zu entnehmen , dass das damalige Altersguthaben der Klägerin Fr.</w:t>
      </w:r>
    </w:p>
    <w:p>
      <w:r>
        <w:t>167'519.10 betrug . Gemäss dem persönliche n Vorsorgeausweis der Swiss Life belief sich das Altersguthaben («passiver Teil») am 1. Januar 2019 auf Fr. 89'098. -- und gemäss Versicherungsausweis der Beklagten per 1. Januar 2020 auf Fr.</w:t>
      </w:r>
    </w:p>
    <w:p>
      <w:r>
        <w:t>91'594.70 ( Urk.</w:t>
      </w:r>
    </w:p>
    <w:p>
      <w:r>
        <w:t>2/3 und Urk. 11/2).</w:t>
      </w:r>
    </w:p>
    <w:p>
      <w:r>
        <w:t>Au fgrund der Höhe dieser Altersguthaben ergibt sich, dass die Swiss Life ab dem 2 0. August 2012 und die Beklagte ab dem 1. Januar 2020 lediglich noch den dem prozentualen Anteil der Rentenberechtigung entsprechenden Teil des Altersgut habens der Klägerin, das heisst den passiven Teil, weitergeführt haben (vgl. E.</w:t>
      </w:r>
    </w:p>
    <w:p>
      <w:r>
        <w:t>1.1) . Der aktive Teil des Altersguthabens wurde offenbar von einer Freizügig keitsstiftung oder von einer anderen Vorsorgeeinrichtung weitergeführt.</w:t>
      </w:r>
    </w:p>
    <w:p>
      <w:r>
        <w:t>Die Klä gerin blieb nur im Umfang der anerkannten 30%igen Invalidität bei der Swiss Life bzw. der Beklagten versichert. Nach Art. 26 Abs. 1 des Vorsorgereglements der Beklagten wird die reglementarische Invalidenrente der Klägerin im Zeitpunkt des Eintritts des ordentlichen Rücktrittsalters sodann in eine reglementarische Altersrente umgewandelt (vgl. E. 1.4.3). Ein allfälliger</w:t>
      </w:r>
    </w:p>
    <w:p>
      <w:r>
        <w:t>Anspruch auf eine Kapi talabfindung lässt sich damit</w:t>
      </w:r>
    </w:p>
    <w:p>
      <w:r>
        <w:t>–</w:t>
      </w:r>
    </w:p>
    <w:p>
      <w:r>
        <w:t>wie in der Konstellation in BGE 141 V 355 (vgl. E. 1 .3.2) – nicht auf Art. 37 Abs. 2 BVG stützen. Ein Anspruch auf eine Kapital auszahlung bestünde einzig dann , wenn das Vorsorgereglement der Beklagten dies vorsäh e. Dies ist vorliegend indes nicht der Fall .</w:t>
      </w:r>
    </w:p>
    <w:p>
      <w:r>
        <w:t>4.</w:t>
      </w:r>
    </w:p>
    <w:p>
      <w:r>
        <w:t>Dass die Beklagte einen Anspruch der Klägerin auf Kapitala bfindung per Eintritt ins AHV- Rentenalter verneint hat, erweist sich damit als rechtens. Die Klage ist deshalb abzuweisen.</w:t>
      </w:r>
    </w:p>
    <w:p>
      <w:r>
        <w:t>Der von der Klägerin beantragte Beizug der IV-Akten ( Urk. 1 S. 2) ist im Übrigen nicht erforderlich. Das Gericht erkennt: 1.</w:t>
      </w:r>
    </w:p>
    <w:p>
      <w:r>
        <w:t>Die Klage wird abgewiesen. 2.</w:t>
      </w:r>
    </w:p>
    <w:p>
      <w:r>
        <w:t>Das Verfahren ist kostenlos. 3.</w:t>
      </w:r>
    </w:p>
    <w:p>
      <w:r>
        <w:t>Zustellung gegen Empfangsschein an: - Rechtsanwalt Dr. Kreso</w:t>
      </w:r>
    </w:p>
    <w:p>
      <w:r>
        <w:t>Glavas - Swissstaffing BVG-LPP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4</w:t>
      </w:r>
    </w:p>
    <w:p>
      <w:r>
        <w:t>.2</w:t>
      </w:r>
    </w:p>
    <w:p>
      <w:r>
        <w:t>Gemäss Art. 11 Abs. 1 Satz 1 der Allgemeinen Bedingungen Fix Intern der Beklagten, in Kraft seit dem 1. April 2022, kann der aktive Versicherte die teil weise oder vollständige Kapitalauszahlung seines Altersguthabens verlangen, sofern d as Vorsorgereglement es nicht untersagt ( Urk. 11/3).</w:t>
      </w:r>
    </w:p>
    <w:p>
      <w:r>
        <w:t>Nach Art. 26 Abs. 1 Satz 1 des Vorsorgereglements Festangestellte Mitarbeiter der Beklagten kann der aktive Versicherte unter Vorbehalt von Art. 14 Abs.</w:t>
      </w:r>
    </w:p>
    <w:p>
      <w:r>
        <w:rPr>
          <w:b/>
        </w:rPr>
        <w:t>E. 8</w:t>
      </w:r>
    </w:p>
    <w:p>
      <w:r>
        <w:t>die teilweise oder vollständige Kapitalauszahlung seines Altersguthabens verlangen ( Urk. 2/5). 1. 4 .3</w:t>
      </w:r>
    </w:p>
    <w:p>
      <w:r>
        <w:t>Nach Art. 26 Abs. 1 des Vorsorgereglements der Beklagten beginnt der Anspruch auf eine befristete Invalidenrente der Stiftung mit dem Anspruch auf eine Rente der IV und erlischt, unter Vorbehalt von Art. 33 (Höhe der Ehegattenrente), mit dem Ende des Anspruchs auf eine Rente der IV, spätestens jedoch im ordentlichen Rücktrittsalter; ab diesem Zeitpunkt hat der Versicherte Anspruch auf eine Altersrente ( Urk. 11/4). 1 . 4 . 4</w:t>
      </w:r>
    </w:p>
    <w:p>
      <w:r>
        <w:t>Nach ständiger Rechtsprechung hat die Auslegung der Vorsorgeverträge nach dem Vertrauensprinzip zu erfolgen. Es ist darauf abzustellen, wie die zur Streitigkeit Anlass gebende Willenserklärung vom Empfänger in guten Treuen verstanden werden durfte und musste. Dabei ist nicht auf den inneren Willen des Erklärenden abzustellen, sondern auf den objektiven Sinn seines Erklärungsver haltens. Der Erklärende hat gegen sich gelten zu lassen, was ein vernünftiger und korrekter Mensch unter der Erklärung verstehen durfte. Weiter sind die besonde ren Auslegungsregeln bei Allgemeinen Geschäfts- oder Versicherungsbedingun gen zu beachten, insbesondere die Unklarheits- und die Ungewöhnlichkeitsregel (BGE 132 V 149 E. 5 mit Hinweisen). Bei der Auslegung und Anwendung von statutarischen und reglementarischen Bestimmungen im weitergehenden Vorsor gebereich ist zudem zu berücksichtigen, dass die Vorsorgeeinrichtungen in der Ausgestaltung der Leistungen und in deren Finanzierung sowie in ihrer Organi sation grundsätzlich autonom sind (Art. 49 BVG). Dabei haben sie jedoch das Gebot der Rechtsgleichheit, das Willkürverbot und das Verhältnismässigkeits prinzip zu beachten (BGE 134 V 223 E. 3.1, 132 V 149 E. 5.2.4; 129 V 145 E. 4 mit Hinweisen). 2.</w:t>
      </w:r>
    </w:p>
    <w:p>
      <w:r>
        <w:rPr>
          <w:b/>
        </w:rPr>
        <w:t>E. 11</w:t>
      </w:r>
    </w:p>
    <w:p>
      <w:r>
        <w:t>Abs. 1 der Allgemeinen Bedingungen Fix Intern und</w:t>
      </w:r>
    </w:p>
    <w:p>
      <w:r>
        <w:t>Art. 26 Abs. 1 des Vorsorgereglements F estangestellte Mitarbeiter der Beklagten</w:t>
      </w:r>
    </w:p>
    <w:p>
      <w:r>
        <w:t>geht hervor , dass aktiv Versicherte die Kapitalauszahlung des Altersguthabens verlangen können (vgl. E. 1.3.2) .</w:t>
      </w:r>
    </w:p>
    <w:p>
      <w:r>
        <w:t>Daraus ergibt sich ohne Weiteres , dass die Bezüger von Invalidenrenten , die in diese n Bestimmung en</w:t>
      </w:r>
    </w:p>
    <w:p>
      <w:r>
        <w:t>nicht genannt werden,</w:t>
      </w:r>
    </w:p>
    <w:p>
      <w:r>
        <w:t>demgegenüber keinen entsprechen den Anspruch haben. Die Unklarheit s regel findet</w:t>
      </w:r>
    </w:p>
    <w:p>
      <w:r>
        <w:t>vorliegend keine Anwendung.</w:t>
      </w:r>
    </w:p>
    <w:p>
      <w:r>
        <w:t>Mangels Beeinträchtigung des reglementarischen Rechts f ällt ein</w:t>
      </w:r>
    </w:p>
    <w:p>
      <w:r>
        <w:t>Verstoss gegen die Besitzstandsgarantie ferner</w:t>
      </w:r>
    </w:p>
    <w:p>
      <w:r>
        <w:t>ausser Betracht . Wohlerworbene Rechte sind rechtsprechungsgemäss (nur) im Umfang der gesetzlich zwingenden Bestim mungen möglich, während im Bereich der weitergehenden Vorsorge Regle - mentsänderungen auch zum Nachteil der Destinatäre in den allgemeinen</w:t>
      </w:r>
    </w:p>
    <w:p>
      <w:r>
        <w:t>Schranken (Rechtsgleichheit, Willkürverbot) zulässig sind</w:t>
      </w:r>
    </w:p>
    <w:p>
      <w:r>
        <w:t>( Urteil des Bundesgerichts 9C_855/2013 vom 3. Juli 2014 E. 6 mit Hinweisen ) . Nachdem eine derartige</w:t>
      </w:r>
    </w:p>
    <w:p>
      <w:r>
        <w:t>Reglementsänderung zulässig ist , muss dies auch für die Anwendbarkeit einer nachteiligen Bestimmung im Reglement einer n euen Vorsorgeeinrichtung gelten. Die Klägerin kann sich somit weder auf die Besitzstandsgarantie noch auf ein wohlerworbenes Recht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