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BV.2021.00072 vom 3. Oktober 2023</w:t>
      </w:r>
    </w:p>
    <w:p>
      <w:r>
        <w:t>ZH Sozialversicherungsgericht, 2023-10-03, DE</w:t>
      </w:r>
    </w:p>
    <w:p>
      <w:r>
        <w:rPr>
          <w:b/>
        </w:rPr>
        <w:t xml:space="preserve">Quelle: </w:t>
      </w:r>
      <w:r>
        <w:t>https://mcp.opencaselaw.ch/entscheid/zh_sozialversicherungsgericht_BV.2021.00072</w:t>
      </w:r>
    </w:p>
    <w:p>
      <w:r>
        <w:t>FR: ZH_SOZIALVERSICHERUNGSGERICHT BV.2021.00072 du 3 octobre 2023</w:t>
      </w:r>
    </w:p>
    <w:p>
      <w:r>
        <w:t>IT: ZH_SOZIALVERSICHERUNGSGERICHT BV.2021.00072 del 3 ottobre 2023</w:t>
      </w:r>
    </w:p>
    <w:p>
      <w:pPr>
        <w:pStyle w:val="Heading2"/>
      </w:pPr>
      <w:r>
        <w:t>Erwägungen</w:t>
      </w:r>
    </w:p>
    <w:p>
      <w:r>
        <w:rPr>
          <w:b/>
        </w:rPr>
        <w:t>E. 1.1</w:t>
      </w:r>
    </w:p>
    <w:p>
      <w:r>
        <w:t>1. 1. 1</w:t>
      </w:r>
    </w:p>
    <w:p>
      <w:r>
        <w:t>Gemäss Art. 73 Abs. 1 BVG bezeichnet jeder Kanton ein Gericht, das als letzte kantonale Instanz über Streitigkeiten zwischen Vorsorgeeinrichtungen, Arbeit gebern und Anspruchsberechtigten entscheidet ( Art. 73 Abs. 1 BVG ). Im Kanton Zürich ist das Sozialversicherungsgericht als einzige Instanz für solche Klagen zuständig ( § 2 Abs. 2 lit . a des Gesetzes über das Sozialversicherungsgericht [ GSVGer ]).</w:t>
      </w:r>
    </w:p>
    <w:p>
      <w:r>
        <w:rPr>
          <w:b/>
        </w:rPr>
        <w:t>E. 1.1.2</w:t>
      </w:r>
    </w:p>
    <w:p>
      <w:r>
        <w:t>Gerichtsstand für Klagen bzw. Streitigkeiten zwischen Vorsorgeeinrichtungen, Arbeitgebern und Anspruchsberechtigten ist nach Art. 73 Abs. 3 BVG der schwei zerische Sitz oder Wohnsitz des Beklagten oder der Ort des Betriebes, bei dem der Versicherte angestellt wurde.</w:t>
      </w:r>
    </w:p>
    <w:p>
      <w:r>
        <w:t>Für den Wahlgerichtsstand kommt es nicht darauf an , ob die klagende Partei eine Vorsorgeeinrichtung, ein Arbeitgeber oder ein Versicherter ist. Der Ort des Betriebes kommt für alle drei in Art. 73 Abs. 1 BVG erwähnten Parteien in Frage, mithin auch für den Arbeitgeber ( Hürzeler /Bättig- Lischer , Basler Kommentar , Berufliche Vorsorge, 2020, Art. 73 Rz . 52 mit Verweis auf das Urteil des Eidgenössischen Versicherungsgerichts B</w:t>
      </w:r>
    </w:p>
    <w:p>
      <w:r>
        <w:t>93 /04 vom 9. Aug ust 2005 E. 2 . 3) . Dieser hat vorliegend den Sitz im Kanton Zürich.</w:t>
      </w:r>
    </w:p>
    <w:p>
      <w:r>
        <w:rPr>
          <w:b/>
        </w:rPr>
        <w:t>E. 1.1.3</w:t>
      </w:r>
    </w:p>
    <w:p>
      <w:r>
        <w:t>Die</w:t>
      </w:r>
    </w:p>
    <w:p>
      <w:r>
        <w:t>Voraussetzung für den Rechtsweg nach Art. 73 Abs. 1 BVG bildet, dass eine Streitigkeit aus beruflicher Vorsorge im engeren oder weiteren Sinn vorliegt. Zu dem darf die streitige berufsvorsorgerechtliche Angelegenheit nicht in den Zu ständigkeitsbereich der Aufsichtsbehörden gemäss Art. 61 ff. BVG fallen (BGE 141 V 605 E. 3.2.1 mit Hinweise n).</w:t>
      </w:r>
    </w:p>
    <w:p>
      <w:r>
        <w:t>Wird ein Anschlussvertrag aufgelöst, sind vermutungsweise die Voraussetzungen für eine Teilliquidation erfüllt ( Art. 53b Abs. 1 lit . c BVG). Die Versicherten, die Rentner und die Arbeitgeber sind legitimiert, die Voraussetzungen, das Verfahren und den Verteilungsplan einer Teilliquidation der Vorsorgeeinrichtung bei der zuständigen Aufsichtsbehörde überprüfen und entscheiden zu lassen ( Art. 53d Abs. 6 BVG; BGE 140 V 22 E, 4.2; Urteil des Bundesgerichts 9C_938/2015, 9C_944/2015 vom 7. Juli 2016 E. 3.3 . 2). Ob ein Teilliquidationstatbestand vor liegt, der im konkreten Fall ein Teilliquidationsverfahren gebietet, hängt davon ab, ob der Anschlussvertrag gültig aufgelöst wurde. Diese (Vor-)Frage der Rechts gültigkeit der Kündigung ist gemäss ständiger Rechtsprechung im Rahmen eines aufsichtsrechtlichen Verfahrens nach Art. 53d Abs. 6 BVG zu prüfen und nicht im Rahmen eines Klageverfahrens nach Art. 73 BVG. Bildet demgegenüber - wie im vorliegenden</w:t>
      </w:r>
    </w:p>
    <w:p>
      <w:r>
        <w:t>Verfahren - nicht ein hängiges Teilliquidationsverfahren, son dern die Gültigkeit einer Kündigung materiell-rechtliche Hauptfrage, i st diese Frage im Klageverfahren nach Art. 73 BVG zu beurteilen (vgl. zum Ganzen BGE 146 V 169 E. 1.5 , 143 V 200 , 141 V 597 E. 4.4; Urteil des Bundesgerichts 9C_938/2015, 9C_944/2015 vom 7. Juli 2016, E. 5.1 und 6.2.3 f.; Müller/Ruff Rudin, Basler Kommentar, Berufliche Vorsorge, 202 0 , Art. 53b Rz . 35).</w:t>
      </w:r>
    </w:p>
    <w:p>
      <w:r>
        <w:rPr>
          <w:b/>
        </w:rPr>
        <w:t>E. 1.1.4</w:t>
      </w:r>
    </w:p>
    <w:p>
      <w:r>
        <w:t>Demzufolge hat die Klägerin zu Recht eine Klage und keine Aufsichtsbeschwerde erhoben. Die örtliche und sachliche Zuständigkeit des angerufenen Gerichts ist gegeben.</w:t>
      </w:r>
    </w:p>
    <w:p>
      <w:r>
        <w:rPr>
          <w:b/>
        </w:rPr>
        <w:t>E. 1.2</w:t>
      </w:r>
    </w:p>
    <w:p>
      <w:r>
        <w:t>Die Klägerin stellt in ihrer Klage mehrere Feststellungsbegehren ( Urk. 1 S. 2) . Die Beklagte bestreitet das Vorliegen des erforderlichen Feststellungs- bzw. Rechts schutzinteresse s . Auf die Feststellungsbegehren könne deshalb nicht eingetreten werden ( Urk.</w:t>
      </w:r>
    </w:p>
    <w:p>
      <w:r>
        <w:rPr>
          <w:b/>
        </w:rPr>
        <w:t>E. 3</w:t>
      </w:r>
    </w:p>
    <w:p>
      <w:r>
        <w:t>1. Dezember 2022 ( Anschlussvertrag vom 1 0. Juli / 1 5. August 2017, Urk. 2/5).</w:t>
      </w:r>
    </w:p>
    <w:p>
      <w:r>
        <w:rPr>
          <w:b/>
        </w:rPr>
        <w:t>E. 3.1</w:t>
      </w:r>
    </w:p>
    <w:p>
      <w:r>
        <w:t>des Anschlussvertrages .</w:t>
      </w:r>
    </w:p>
    <w:p>
      <w:r>
        <w:t>Ebensowenig kann sich die Beklagte darauf berufen, die Klä gerin habe in der Vergangenheit einem Stiftungsabzug in variabler Höhe zuge stimmt. Selbst wenn eine solche Zustimmung v orgelegen hätte, kann nicht auch von einer konkludenten Zustimmung zu einem variablen Verwendungszweck ausgegangen werden . Die strittige Erhöhung des Stiftungsabzugs ist folglich nicht durch eine allgemeine konkludente Zustimmung der Klägerin gedeckt. Aufgrund der fehlenden Vertragsgrundlage und dem ausdrücklichen Widerstand der Kläge rin kann die besagte Änderung gegenüber dieser keine Wirkung entfalten. Bei dieser Ausgangslage kann offenbleiben, ob die Erhöhung eine wesentliche Ver tragsänderung im Sinne von Art. 53f Abs. 4 BVG darstellen würde . 6.8.3</w:t>
      </w:r>
    </w:p>
    <w:p>
      <w:r>
        <w:t>Die Beklagte hat der Klägerin den zu Unrecht belasteten Mehrbetrag des Stif tungsabzugs (0,10 % der ungedeckten Verwaltungskosten) zurückzuerstatten. Dieser Rückerstattungsanspruch ist - in Anbetracht des weiterhin b is zur ordentli chen Kündigung per 3 1. Dezember 2022 bestandenen Anschlussverhältnisses - nicht als bereicherungsrechtlicher, sondern als vertraglicher Anspruch anzusehen (vgl. hierzu BGE 126 III 119 E. 3 mit Hinweisen). Im Berufsvorsorgerecht werden sowohl im Leistungs- wie auch im Beitragsbereich Verzugszinsen zugelassen. Da es nicht um eine verspätete Überweisung von Austrittsleistungen ( Art. 2 Abs. 4 des Bundesgesetzes über die Freizügigkeit in der beruflichen Alters-, Hinterlasse nen- und Invalidenvorsorge</w:t>
      </w:r>
    </w:p>
    <w:p>
      <w:r>
        <w:t>[ FZG ] ) geht, ergeben sich die zu bezahlenden Ver zugszinsen in erster Linie aus dem Reglement der Vorsorgeeinrichtung. Bei Feh len entsprechender Regelungen ist Art. 104 Abs. 1 OR heranzuziehen, wonach ein Verzugszins von 5 % geschuldet ist (Urteil des Bundesger ichts 9C_377/2014 vom 1 0. Februar 2015 E. 4.3.1). In Ziff.</w:t>
      </w:r>
    </w:p>
    <w:p>
      <w:r>
        <w:rPr>
          <w:b/>
        </w:rPr>
        <w:t>E. 3.2</w:t>
      </w:r>
    </w:p>
    <w:p>
      <w:r>
        <w:t>D azu macht die Klägerin zunächst geltend, die Beklagte habe ohnehin keine ein seitige Vertragsänderung vornehmen dürfen. Im Gegensatz zu anderen Verträgen sei es bei Anschlussverträgen für die Versicherung zwar möglich, Vertragsände rungen vorzunehmen, jedoch müsste hierfür entweder die Ä nderungsmöglichkeit gesetzlich vorgesehen oder müssten die Modalitäten der Vertragsanpassung ver traglich vereinbart worden sein. Vorliegend existiere keine Regelung, welche der Beklagten das Recht einräume, verbindliche Regelungen des Anschlussvertrages während der festen Laufdauer einseitig anzupassen. Art. 53f BVG könne ein sol ches Recht nicht begründen ( Urk. 1 S. 16 f.).</w:t>
      </w:r>
    </w:p>
    <w:p>
      <w:r>
        <w:rPr>
          <w:b/>
        </w:rPr>
        <w:t>E. 3.3</w:t>
      </w:r>
    </w:p>
    <w:p>
      <w:r>
        <w:t>Eine wesentliche Vertragsänderung sieht die Klägerin insbesondere in der « Ver stärkung des Deckungskapitals bei Vertragskündigung » (Massnahme 2). In der Anschlussvereinbarung vom 1 0. Juli / 1 5. August 2017 sei vereinbart worden, dass die Alters- und Hinterlassenenrentner mit Rentenbeginn während der An schlussdauer bei der Beklagten bei ungeschmälertem Versicherungsschutz bei dieser bleiben (Ziffer 7.3 der Anschlussvereinbarung 2018). Bei Auflösung des Anschlussvertrags sollten diese Rentner gemäss Regelung im Anschlussvertrag im «Vorsorgewerk Renten» verbleiben, und zwar ohne dass eine zusätzliche Aus finanzierung zu Lasten des Vorsorgewerks des Arbeitgebers nötig wäre. Mit dem « Massnahme n paket 2021 » sei die Möglichkeit zum kostenlosen Zurücklassen des Rentnerbestandes jedoch gänzlich aufgehoben worden. Neu habe die Beklagte - mit dem</w:t>
      </w:r>
    </w:p>
    <w:p>
      <w:r>
        <w:t>Rückstellungsreglement 2020 [gültig ab 1 5. Oktober 2020; Urk. 2/13] - eine Pflicht zur Ausfinanzierung bzw. eine Verstärkung der Rentendeckungs kapitalien zu Lasten des Vorsorgewerks des Arbeitgebers eingeführt. Diejenigen Rentner, die früher ohne eine Ausfinanzierung bei der Beklagten hätten verblei ben können, würden bei einem Verbleib neu vom « Vorsorgewerk Renten 1 » in ein « Vorsorgewerk Renten 2 » (arbeitgeberlose Rentner) überführt. Hierfür werde eine zusätzliche Verstärkung der Rentendeckungskapitalien eingefordert, indem die Rentendeckungskapitalien mit einem risikoarmen technischen Zinssatz von 0 % statt 2 % und auf der Grundlage der Generationentafel (Basisjahr = Bilanzjahr) statt auf der Periodentafel (Basisjahr = 2015) berechnet würden. Die Pensions kassenexpertin der Beklagten, die</w:t>
      </w:r>
    </w:p>
    <w:p>
      <w:r>
        <w:t>Z.___ AG, habe die Auswirkungen der Ver stärkung des Rentenkapitals für das Vorsorgewerk der Klägerin mit den Daten grundlagen per 3 1. Dezember 2020 berechnet. Die Verstärkung für den Fall des Verbleibs der Rentner bei der Beklagten betrage per 3 1. Dezember 2020 Fr. 4'391'054.-- . Dies bedeute eine Verstärkung des Rentendeckungskapitals von rund 2 3 % ( Fr. 4'391'054.-- / Fr. 19'112'304.-- [Rentendeckungskapital dieser Rentnergruppe gemäss technischen Grundlagen gemäss « Vorsorgewerk Renten 1 » ]). Auch die Mitnahme der besagten Rentner habe erhebliche finanzielle Aus wirkungen, da die neue Vorsorgeeinrichtung die Deckungskapitalien mit einem deutlich tieferen technischen Zinssatz als demjenigen gemäss « Vorsorgewerk Renten 1 » (2 % ) berechne. Sowohl der Verbleib als auch die Mitnahme der Rent ner seien somit durch die Vertragsanpassungen mit wesentlichen finanziellen Nachteilen verbunden ( Urk. 1 S. 18 ff.).</w:t>
      </w:r>
    </w:p>
    <w:p>
      <w:r>
        <w:rPr>
          <w:b/>
        </w:rPr>
        <w:t>E. 3.4</w:t>
      </w:r>
    </w:p>
    <w:p>
      <w:r>
        <w:t>Eine wesentliche Vertragsänderung erblickt die Klägerin weiter in der Anpassung der Finanzierung der Ziel-Wertschwankungsreserve des «Vorsorgewerks Renten 1» (Massnahme 3). Mit dem neuen «Reglement zur Stabilisierung des Vorsorge werks Renten 1 2021», gültig ab 3 1. Dezember 2020, werde bei der Pensionierung einer versicherten Person das geäufnete Sparkapital mit einem zusätzlichen Bei trag in der Höhe von 7,5 % des Sparkapitals zu Lasten des Vorsorgewerks des Arbeitgebers belastet. Vor der Einführung des « Massnahme n pakets 2021 » habe dieser Beitrag maximal 1,5 % des Sparkapitals betragen. Eine derartige Erhöhung stelle eine wesentliche Vertragsänderung dar ( Urk. 1 S. 22) .</w:t>
      </w:r>
    </w:p>
    <w:p>
      <w:r>
        <w:rPr>
          <w:b/>
        </w:rPr>
        <w:t>E. 3.5</w:t>
      </w:r>
    </w:p>
    <w:p>
      <w:r>
        <w:t>A uch die erneute Senkung des Umwandlungssatzes komme einer solchen Ände rung gleich (Massnahme 4). Im Zusammenhang mit dem « Massnahme n paket 2021 » habe die Beklagte eine Weiterführung der Senkung des Umwandlungs satzes bis 2024 auf 5,4 %</w:t>
      </w:r>
    </w:p>
    <w:p>
      <w:r>
        <w:t>mitgeteilt und im Rahmenreglement 2021 festgelegt . Für die Jahre 2020-2024 stelle dies eine Senkung des Umwandlungssatzes um insgesamt 0,4 % Prozentpunkte bzw. mehr als 5 % [der Altersleistungen] dar, womit der Kündigungstatbestand von Art. 53f BVG erfüllt sei ( Urk. 1 S. 13, 23).</w:t>
      </w:r>
    </w:p>
    <w:p>
      <w:r>
        <w:rPr>
          <w:b/>
        </w:rPr>
        <w:t>E. 3.6</w:t>
      </w:r>
    </w:p>
    <w:p>
      <w:r>
        <w:t>Als wesentliche Vertragsänderung erachtet die Klägerin sodann die Erhöhung des Stiftungsabzuges von 0,15 % auf 0,25 % (Massnahme 5). Es sei unklar, auf wel che r vertragliche n Grundlage ein solcher Abzug vorgenommen werde. Im An schlussvertrag finde sich in Ziff.</w:t>
      </w:r>
    </w:p>
    <w:p>
      <w:r>
        <w:rPr>
          <w:b/>
        </w:rPr>
        <w:t>E. 3.7</w:t>
      </w:r>
    </w:p>
    <w:p>
      <w:r>
        <w:t>I m Weiteren rügt die Klägerin eine Verletzung der Verfahrensvorschriften. Selbst wenn die Beklagte berechtigt gewesen wäre, die erwähnten vertraglichen Anpas sungen einseitig vorzunehmen, so hätte sie ihr (der Klägerin) dies unter Beach tung von Art. 53f BVG sechs Monate vor Inkrafttreten schriftlich mitteilen müs sen. Stattdessen habe die Beklagte Änderungen rückwirkend eingeführt, nämlich jene gestützt auf das Rückstellungsreglement per 1 5. Oktober 2020, die anderen Änderungen per 3 1. Dezember 2020 resp. per 1. Januar 202 1. Zudem habe die Beklagte die Änderungen lediglich den Brokern mitgeteilt und dies im Übrigen auch nicht schriftlich, sondern einzig mit einer Powerpoint -Präsentation. Aus dieser Ankündigung seien die zukünftigen Rechte und Pflichten nicht hinrei chend klar ersichtlich.</w:t>
      </w:r>
    </w:p>
    <w:p>
      <w:r>
        <w:t>Auch habe es die Beklagte vollständig den Brokern über lassen, die Arbeitgeber über die Änderungen zu informieren. Ihr Broker habe sie an einer Sitzung vom 1 8. Februar 2021 über die Anpassungen informiert. Dieses Vorgehen der Klägerin sei rechtswidrig und habe die Nichtigkeit der Änderungen zur Folge. Sollte das Gericht die Verfahrensverletzung als vernachlässigbar beur teilen, so stelle sich immerhin die Frage, wann die Änderungen frühestens in Kraft treten könnten. Die Anpassung en sei en den Brokern am Anlass vom 2 8. Ja nuar 2021 vorgestellt worden. Damit könnten diese frühestens per 3 1. Dezember 2021 bzw. per 1. Januar 2022 in Kraft treten . Auf jeden Fall sei die gesetzliche Ankündigungsfrist von sechs Monaten zu berücksichtigen, womit die Inkraft setzung frühestens per 1 9. August 2021, also sechs Monate nach dem Gespräch mit dem Broker, habe erfolgen können ( Urk. 1 S. 24 f.) . 4. 4.1 4. 1. 1</w:t>
      </w:r>
    </w:p>
    <w:p>
      <w:r>
        <w:t>Die Beklagte bestreitet, dass der Klägerin ein ausserordentliches Kündigungsrecht gemäss Art. 53f BVG zusteht. Dass mit dem « Massnahmenpaket 2021 » wesentli che Vertragsänderungen im Sinne von Art. 53f BVG vorgenommen w orden sei en , treffe nicht zu . Zur Neuorganisation des Rentenwesens (Massnahmen 1 und 2) führt sie aus, es sei unzutreffend, dass sie eine Ausfinanzierungspflicht eingeführt habe. Das Schicksal der rentenberechtigten Personen sei im geltenden Anschluss vertrag unmissverständlich geregelt worden. Vom Wegfall des Versicherungs schutzes infolge einer Auflösung des Anschlussvertrags seien die aktiv versicher ten Personen, die Invalidenrentner (Voll- und Teilinvalide) und diejenigen Rent ner betroffen, welche bei Vereinbarungsbeginn von der früheren Vorsorge einrichtung übernommen worden seien. An dieser Regelung habe sich auch mit dem « Massnahme n paket 2021 » nichts geändert. Massgebend sei, dass sie (die Be klagte) mit dem « Massnahme n paket 2021 » ihr Rückstellungsreglement geändert habe und für die Bilanzierung der Rentendeckungskapitalien neu einen risiko armen technischen Zinssatz von 0 % anwende. Die Senkung des technischen Zinssatzes sei (unstrittig) versicherungstechnisch begründet und notwendig, um den gesunkenen Renditeerwartungen Rechnung zu tragen. Sie berücksichtige die Tatsache, dass die zurückgelassenen Rentner nicht mehr in einer Solidargemein schaft mit den aktiven versicherten Personen stünden, welche - neben der Ar beitgeberin - einzig einen Beitrag zur Sanierung dieses Kollektivs leisten könnten. Eine solche Bilanzierung trage den Sorgfaltspflichten des Stiftungsrates Rech nung und entspreche dem Vorgehen anderer Vorsorgeeinrichtungen. Bislang sei es so gewesen, dass sämtliche angeschlossenen Vorsorgewerke mit aktiven Ver sicherten für die Sicherstellung des finanziellen Gleichgewichts des « Vorsorge werks Renten » in der Pflicht gestanden seien (Solidaritätsbeitrag). Neu würden die Deckungskapitalien der zurückgelassenen Rentner im « Vorsorgewerk Renten 2 » versicherungstechnisch korrekt bilanziert, damit diejenigen Vorsorgewerke, denen diese Rentner nicht zuzuordnen seien, wesentlich entlastet würden. Dieses Vorgehen trage dem Verursacherprinzip Rechnung. Die Regelung der Bilanzie rung sei materiell als Rechnungslegungsvorschrift zu qualifizieren, anhand wel cher die Ermittlung des Vermögens des « Vorsorgewerks Renten 2 » erfolge . Die Senkung des technischen Zinssatzes habe die Sicherstellung der versprochenen Rentenleistungen zum Ziel und führe damit folgerichtig auch zu einer Erhöhung der zu bilanzierenden Deckungskapitalien. Das Bundesgericht erachte eine An passung des Rückstellungsreglements unter Umständen selbst ohne entspre chende Grundlage im Rückstellungsreglement als zulässig. Die Anpassung von Rechnungslegungsvorschriften stehe in der Kompetenz des Stiftungsrates. Da die genannte Änderung keine direkten Auswirkungen auf die Vorsorgeleistungen und die Beiträge habe, stelle sie auch keine Vertragsänderung dar, die zu einer ausserordentlichen Kündigung berechtigen würde. Sowohl die historische als auch die sprachliche und systematische Auslegung von Art. 53f Abs. 4 BVG führ ten zum Ergebnis, dass die Generalklausel von lit . c, auf welche sich die Klägerin berufe, im Kontext der vorangehenden lit . a und b zu verstehen seien. Der Bezug auf lit . a und b entspreche der gesetzgeberischen Absicht, die Kündigungstatbe stände abschliessend und klar zu regeln . Das in Art. 53f BVG eingeräumte Kün digungsrecht mit nur einmonatiger Kündigungsfrist sei ein einschneidender Rechtsbehelf, welcher nur in ausserordentlichen Situationen zur Anwendung ge lange. Mittelbare Folgen von Vertragsänderungen, wie beispielsweise die Sen kung des technischen Zinssatzes, könnten von vornherein nicht zu einem ausser ordentlichen Kündigungsrecht führen ( Urk.</w:t>
      </w:r>
    </w:p>
    <w:p>
      <w:r>
        <w:rPr>
          <w:b/>
        </w:rPr>
        <w:t>E. 7</w:t>
      </w:r>
    </w:p>
    <w:p>
      <w:r>
        <w:t>A ll fällige ordentliche Kosten seien der Beklagten aufzuerlegen; zudem sei die Be klagte zu verurteilen, der Klägerin eine Parteientschädigung auszurichten, zzgl. MWSt. "</w:t>
      </w:r>
    </w:p>
    <w:p>
      <w:r>
        <w:t>Die Gemini Sammelstiftung beantragte in der Klageantwort vom 2 8. März 2022 die Abweisung der Klage, soweit darauf einzutreten sei ( Urk.</w:t>
      </w:r>
    </w:p>
    <w:p>
      <w:r>
        <w:rPr>
          <w:b/>
        </w:rPr>
        <w:t>E. 7.1</w:t>
      </w:r>
    </w:p>
    <w:p>
      <w:r>
        <w:t>Wesentliche Vertragsänderungen müssen rechtzeitig angekündigt werden. Art. 53f Abs. 1 BVG schreibt vor, dass die Vorsorgeeinrichtung die Änderungen den Arbeitgebern mindestens sechs Monate vor ihrer geplanten Inkraftsetzung mitteilen muss. Eine wesentliche Vertragsänderung kann deshalb frühestens sechs Monate nach ihrer Ankündigung in Kraft treten. Die Ankündigung hat schriftlich zu erfolgen und muss inhaltlich so ausgestaltet sein, dass der Arbeitgeber Klarheit über seine zukünftigen vertraglichen Rechte und Pflichten erhält ( Art. 53f Abs. 1 BVG; Peter, a.a.O., Art. 53f Rz . 21 mit Hinweis auf die einschlägigen Materialien). Im Bestreitungsfall hat die Vorsorgeeinrichtung zu beweisen, dass die Ankündi gung rechtzeitig bei der von der Änderung betroffenen Partei eingetroffen ist. Gelingt der Beweis nicht, trägt sie die Folgen der Beweislosigkeit. Für den Nach weis der erfolgten Zustellung gilt der Beweisgrad der überwiegenden Wahr scheinlichkeit (BGE 129 V 51 E. 2.4; Peter, a.a.O., Art. 53f Rz . 24).</w:t>
      </w:r>
    </w:p>
    <w:p>
      <w:r>
        <w:rPr>
          <w:b/>
        </w:rPr>
        <w:t>E. 7.2</w:t>
      </w:r>
    </w:p>
    <w:p>
      <w:r>
        <w:t>des Anschluss vertrages; Urk. 2/5 ). Auch hinsichtlich dieser Rentner fehlt e es vorliegend an einer rechtzeitigen Deckungszusage. Dass die Zeit für die Vertragsverhandlungen knapp bemessen war, vermag daran nichts zu ändern. Wie das Bundesgericht hinsichtlich der Mitarbeitermitbestimmung festgehalten hat, rechtfertigt der zeit liche Druck beim ausserordentlichen Kündigungsrecht ein Absehen von den Ver fahrensvorschriften nicht (BGE 146 V 169 E. 4.3.4 f.). Dies muss auch hinsichtlich der Deckungszusage gelten, deren Abwesenheit die Gefahr eines versicherungs losen Zustands mit sich bringt. Dem gesetzlichen Zweck von Art. 53e Abs. 4 bis BVG - namentlich der Verhinderung eines vertragslosen Zustands für die laufen den Rentner - würde andernfalls zu wenig Rechnung getragen (vgl. Bericht der Kommission für soziale Sicherheit und Gesundheit des Nationalrates zur parla mentarischen Initiative « Wechsel der Vorsorgeeinrichtung » vom 2 6. Mai 2005, BBI 2005 5941, S. 5944). Auch aus diesem Grund ist die Kündigung der Klägerin als ungültig zu betrachten.</w:t>
      </w:r>
    </w:p>
    <w:p>
      <w:r>
        <w:rPr>
          <w:b/>
        </w:rPr>
        <w:t>E. 8</w:t>
      </w:r>
    </w:p>
    <w:p>
      <w:r>
        <w:t>S. 15 f.). 4.2.2</w:t>
      </w:r>
    </w:p>
    <w:p>
      <w:r>
        <w:t>Die Beklagte führt weiter aus, es sei auch fraglich, ob die Klägerin das gemäss Art.</w:t>
      </w:r>
    </w:p>
    <w:p>
      <w:r>
        <w:rPr>
          <w:b/>
        </w:rPr>
        <w:t>E. 8.1</w:t>
      </w:r>
    </w:p>
    <w:p>
      <w:r>
        <w:t>Die Klägerin rügt, von der Beklagten nicht hinreichend über die Vertragsände rungen informiert worden zu sein ( Urk. 1 S. 24). Diesbezüglich ist ihr beizupflich ten. Die Powerpoint -Präsentation vom 2 8. Januar 2021 ( Urk. 2/9) , auf welche sich die Beklagte beruft, genügt den Anforderungen von Art. 53f Abs. 1 BVG nicht. Die mit Kurzkommentaren versehene Präsentation richtete die Beklagte aus schliesslich an ihre Broker und nicht an die von den Vertragsänderungen be troffenen Arbeitgeber. Ob die Beklagte berechtigt war, die Ankündigung der we sentlichen Vertragsänderungen ausschliesslich an die Broker zu richten, kann vorliegend offenbleiben. Ohnehin genügt die besagte Präsentation dem ausdrück lichen Schriftlichkeitserfordernis von Art. 53f Abs. 1 BVG nicht. Auf der letzten Seite der Präsentation hält die Beklagte ausdrücklich fest, für die Richtigkeit und Vollständigkeit der darin enthaltenen Informationen keine Haftung oder Gewähr übernehmen zu können ( Urk. 2/9 S. 24) . Auch ihr Einwand, sie habe die Broker zusätzlich auf ein Factsheet zu den einzelnen Massnahmen aufmerksam gemacht, vermag an der ungenügenden Ankündigung nichts zu ändern ( Urk. 8 S. 16) . Die Beklagte belegt nicht, den M a klern ein entsprechendes Factsheet ausgehändigt zu haben. Rechtsprechungsgemäss tr ä gt sie die Folgen der Beweislosigkeit.</w:t>
      </w:r>
    </w:p>
    <w:p>
      <w:r>
        <w:rPr>
          <w:b/>
        </w:rPr>
        <w:t>E. 8.2</w:t>
      </w:r>
    </w:p>
    <w:p>
      <w:r>
        <w:t>Damit die wesentlichen Änderungen hätten in Kraft treten können, hätte die Be klagte weiter korrekte Beschlüsse fassen müssen. Daran fehlt es. Erfolgt keine oder eine verspätete Ankündigung der wesentlichen Vertragsänderungen, ver schieben sich die sechsmonatige bzw. die 30-tä g ige Kündigungsfrist und der Zeit punkt des Inkrafttretens. Erfolgt die Vertragsänderung durch eine Reglement s änderung , kann diese bei verspäteter Ankündigung nicht auf den beschlossenen Termin in Kraft treten. Das oberste Organ der Vorsorgeeinrichtung muss diesfalls erneut über das Inkrafttreten der Änderung beschliessen, damit diese in Kraft treten (Peter, a.a.O., Art, 53f Rz . 25). In diesem Zusammenhang ist auch das Prin zip der Nichtrückwirkung zu beachten, welches bei Änderungen von Reglementen Anwendung findet (BGE 126 V 163 E. 4b; ausführlich Vetter-Schreiber, a.a.O., Art. 50 Rz . 13 ff.). Eine rückwirkende Inkraftsetzung, wie sie die Beklagte vorlie gend beschlossen hat (vgl. oben E. 2), verstösst gegen dieses Prinzip. Die Be schlüsse der Beklagten, die weder die Fristen nach Art. 53f BVG noch das Rück wirkungsverbot berücksichtigen, erweisen sich demzufolge als unzulässig. Da eine korrekte Wiederholung der Beschlüsse ausgeblieben ist, konnten die beiden wesentlichen Vertragsänderungen (vgl. oben E. 6.9) nicht in Kraft treten.</w:t>
      </w:r>
    </w:p>
    <w:p>
      <w:r>
        <w:t>Den Mehrbetrag des « Einkaufsbeitrags » in die Ziel-Wertschwankungsreserve des « Vorsorgewerks Renten 1» (Massnahme 3), den die Beklagte dem Vorsorgewerk der Klägerin für die in den Jahren 2021 und 2022 erfolgten Pensionierungen belastet hat, hat sie diesem daher zurückzuerstatten. Über einen allfälligen Ver zugszins ist - mangels entsprechenden Antrags der Klägerin - nicht zu befinden.</w:t>
      </w:r>
    </w:p>
    <w:p>
      <w:r>
        <w:rPr>
          <w:b/>
        </w:rPr>
        <w:t>E. 8.3.1</w:t>
      </w:r>
    </w:p>
    <w:p>
      <w:r>
        <w:t>Auf der anderen Seite ist festzuhalten, dass die Klägerin nicht rechtsgültig von ihrem Kündigungsrecht Gebrauch machte. Diesbezüglich ist anzumerken, dass dieselbe Formstrenge, wie sie sich die Beklagte entgegenhalten lassen muss, auch für die Klägerin gilt. Eine formell nicht korrekte Kündigung kann - auch wenn die Beklagte i hren Pflichten nicht nachgekommen ist - keine Wirkung entfalten.</w:t>
      </w:r>
    </w:p>
    <w:p>
      <w:r>
        <w:rPr>
          <w:b/>
        </w:rPr>
        <w:t>E. 8.3.2</w:t>
      </w:r>
    </w:p>
    <w:p>
      <w:r>
        <w:t>Als zutreffend erweisen sich in diesem Zusammenhang die Vorbringen der Be klagten bezüglich der Mitbestimmung des Personals ( Art. 11 Abs. 3 bis BVG). Wie sie richtig ausführt, sind die bundesgerichtlichen Vorgaben zur Mitbestimmung des Personals streng (BGE 146 V 169 E. 4.3.2.2; vgl. oben E. 7.2). Den Akten kann entnommen werden, dass die Klägerin das Personal mit Schreiben vom 1. April 2021 über eine « Überprüfung der heutigen Pensionskassenlösung » orientierte. In diesem Schreiben führte sie aus, dass für eine Überprüfung der Marktevaluation eine Arbeitsgruppe aus Arbeitgeber- und Arbeitnehmervertretern eingesetzt werde. Für die Arbeitnehmervertretung hätten sich drei Mitarbeiter zur Wahl ge stellt. Weitere interessierte Mitarbeiter könnten sich melden. Sobald die Erkennt nisse der Arbeitsgruppe vorliegen würden, werde das gesamte Personal mittels Informationsschreibens über die Ausschreibungsgrundlagen informiert. An schliessend werde das Personal die Möglichkeit haben, in schriftlicher Form über die Pensionskassenlösung abzustimmen ( Urk. 19/4). Den Akten ist weiter zu ent nehmen, dass die A.___ AG im Auftrag der Kl ä gerin von mehreren potentiellen Vorsorgeeinrichtungen eine Offerte einhol te und die Resultate in einem Offertenvergleich zusammenfasste ( Urk. 19/4, Urk. 19/5). Dieser Vergleich wurde der Arbeitsgruppe am 1 1. Juni 2021 vorgestellt (vgl. Urk. 19/6). In der Folge teilte « die Vorsorgekommission » den Mit arbeitern mit Schreiben vom 1 4. Juni 2021 mit, dass das Massnahme n paket der Beklagten erhebliche negative Folgen habe, welche die Vorsorgekommission/Management und die Arbeits gruppe nicht akzeptieren würden. Aufgrund der Resultate der Marktevaluation werde daher ein Vertragswechsel zur</w:t>
      </w:r>
    </w:p>
    <w:p>
      <w:r>
        <w:t>Valitas Sammelstiftung BVG empfohlen. Die « Vorsorgekommission » forderte die Mitarbeite r auf, dem Kassenwechsel bis am 2 1. Juni 2021 zuzustimmen bzw. diesen abzulehnen . Dem Schreiben vom 1 6. Juni 2021 lag zwar ein Zusatzblatt bei, auf welchem diverse Parameter der Beklagten sowie der Valitas Sammelstiftung BVG verglichen wurden. Ohne zu sätzliche, adressatengerechte Informationen war dieses Beiblatt für die Arbeit nehmerschaft jedoch kaum verständlich und nachvollziehbar. Auch fehlen darin wichtige Informationen, die d em Personal als Grundlage für einen Anschluss wechsel zur Verfügung gestellt werden müssen, etwa zur Höhe der Sparbeiträge oder Angaben zu den Risikoleistungen ( Urk. 19/6). Eine echte Mitwirkung des Personals, wie sie Art. 11 Abs. 3 bis BVG verlangt, liegt bei dieser Ausgangslage nicht vor. Die mangelhafte Mitwirkung führt zur Nichtigkeit der Kündigung (BGE 146 V 169 E. 4.3.4 f.).</w:t>
      </w:r>
    </w:p>
    <w:p>
      <w:r>
        <w:rPr>
          <w:b/>
        </w:rPr>
        <w:t>E. 8.3.3</w:t>
      </w:r>
    </w:p>
    <w:p>
      <w:r>
        <w:t>Des Weiteren ist zu bemerken, dass die Deckungszusage der neuen Vorsorge einrichtung ( Valitas</w:t>
      </w:r>
    </w:p>
    <w:p>
      <w:r>
        <w:t>Sammelstiftung BVG) erst am 1 0. August 2021 und 1 1. No vember 2021 erfolgte und damit deutlich nach dem K ü ndigungsschreiben der Kl ä gerin vom 2 4. Juni 2021 ausgestellt wurde ( Urk. 2/18, Urk. 2/19 ) .</w:t>
      </w:r>
    </w:p>
    <w:p>
      <w:r>
        <w:t>Art. 53e Abs. 4 bis BVG schreibt indessen vor, dass ein Anschlussvertrag erst aufgelöst wer den kann, wenn eine Vorsorgeeinrichtung schriftlich bestätigt hat, dass sie die bestehenden Rentenbezüger zu den gleichen Bedingungen übernimmt. Wie die Beklagte zu Recht ausführt ( Urk. 8 S. 18 f.) , gelangt diese Bestimmung auch bei einer ausserordentlichen Kündigung nach Art. 53f BVG zur Anwendung (Peter, a.a.O., Art. 53e Rz . 11). Selbst wenn im vorliegenden Fall der Verbleib derjenigen Rentner streitig war, die während der Anschlussvertragsdauer bei der Beklagten entstanden sind, so besteht zwischen den Parteien Einigkeit darüber, dass die neue Vorsorgeeinrichtung auf jeden Fall die Invalidenrentner und diejenigen Al ters- und Hinterlassenenrentner übernehmen musste, welche bereits von früheren Vorsorgeeinrichtungen übernommen worden sind (vgl. Ziff.</w:t>
      </w:r>
    </w:p>
    <w:p>
      <w:r>
        <w:rPr>
          <w:b/>
        </w:rPr>
        <w:t>E. 8.3.4</w:t>
      </w:r>
    </w:p>
    <w:p>
      <w:r>
        <w:t>Nicht gefolgt werden kann dem Einwand der Beklagten, im Kündigungsschreiben sei als Kündigungszeitpunkt kein konkreter Zeitpunkt, sondern lediglich das In krafttreten der Änderungen angegeben worden , was nicht rechtsgenüglich sei ( Urk. 8 S. 16) . Aus dem Gesetzeswortlaut ergibt sich ausdrücklich, dass der Ar beitgeber den Vertrag auf den Zeitpunkt kündigen kann, auf den die Änderungen in Kraft treten sollen ( Art. 53f Abs. 2 BVG). Eine konkrete Angabe des Kündi gungszeitpunkts war vorliegend ohnehin nicht möglich, da die Beklagte mit ihren Beschlüssen gegen das Rückwirkungsverbot verstossen und die wesentlichen Ver tragsänderungen nicht rechtsgenügend angekündigt hatte. Ferner kann de n Schreiben vom 2 4. Juni 2021 und 1 6. Juli 2021 unmissverständlich entnommen werden, dass die Kündigung der Klägerin aufgrund der Änderungen im « Mass nahmenpaket 2021 » bzw. insbesondere aufgrund der Neuregelung des Rentner transfers erfolgte ( Urk. 2/7 , Urk. 2/21 ). Ein hinreichender Kündigungsgrund lag somit vor. Aufgrund der mangelhaften Mitwirkung und der verspäteten De ckungszusage bleibt die Kündigung der Klägerin jedoch dennoch ungültig. 9. 9. 1</w:t>
      </w:r>
    </w:p>
    <w:p>
      <w:r>
        <w:t>Die Klage ist teilweise gutzuheissen und festzustellen, dass es sich bei den Mass nahmen 2 und 3 des "Massnahme n pakets 2021" der Beklagten (Einführung einer be dingungslosen Ausfinanzierungspflicht für zurückgelassene Rentner bei Auf lösung des Anschlussvertrages [Massnahme 2] und Erhöhung des « Einkaufbei trags » in die Ziel-Wertschwankungsreserve bei Pensionierung aktiver Versicher ter von 1,5 % auf 7,5 % [Massnahme 3]) um wesentliche Vertragsänderungen im Sinne von Art. 53f BVG gehandelt hat. Weiter ist festzustellen, dass die wesent lichen Vertragsänderungen nicht in Kraft getreten sind. Zudem entfaltet die Er höhung des Stiftungsabzugs [Massnahme 5] keine Wirkung. Die Beklagte ist des wegen zu verpflichten, dem Vorsorgewerk der Klägerin den belasteten Mehr betrag an die ungedeckten Verwaltungskosten ( « Stiftungsabzug » ) in Höhe von 0,10 % der durchschnittlichen Sparkapitalien z uzüglich 5 % Zins und den erhöh ten « Einkaufsbeitrag » in die Ziel-Wertschwankungsreserve des « Vorsorgewerks Renten » (neu: Renten 1) für die in den Jahren 2021 und 2022 erfolgten Pensio nierungen von 6 % des Sparkapitals zurückzuerstatten. Im Übrigen ist die Klage abzuweisen und festzustellen, dass der Anschlussvertrag vom 1 0. Juli / 1 5. Au gust 2017 bi s zum Ablauf der Laufzeit nicht rechtsgültig aufgelöst wurde und - ohne die beiden wesentlichen Vertragsänderungen - bis 31. Dezember 2022 wei terhin Bestand hat. 9.2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 . Die vorliegende Streit sache erweist sich als komplex. Beide Rechtsvertreter reichten i m Rahmen des angeordneten zweifachen Rechtsschriftenwechsels sowie in ihrer jeweiligen zu sätzlichen Stellungnahme umfangreiche Eingaben ein . Bei dieser Ausgangslage erscheint es angebracht, von Anwaltskosten in Höhe von je Fr. 8'000 . -- auszuge hen . Mit ihren Anträgen obsiegt die Klägerin zu rund 50 % . Demzufolge ist ihr eine Parteientschädigung von Fr. 4'000.-- zuzusprechen. 9.3</w:t>
      </w:r>
    </w:p>
    <w:p>
      <w:r>
        <w:t>Der in den meisten Sozialversicherungszweigen geltende Grundsatz, wonach der obsiegende Sozialversicherungsträger keinen Anspruch auf eine Parteientschädi gung zu Lasten der Versicherten hat, ist gemäss bundesgerichtlicher Rechtspre chung auch im erstinstanzlichen Verfahren der beruflichen Vorsorge anzuwenden (BGE 126 V 143 E. 4). Die Beklagte hat daher - trotz ihres teilweisen Obsiegens - als Versicherungsträgerin keinen Anspruch auf Ersatz ihrer Parteikosten. Das Gericht erkennt: 1.</w:t>
      </w:r>
    </w:p>
    <w:p>
      <w:r>
        <w:t>Die Klage wird nach Massg a be der Dispositiv-Ziffern 2 bis 5 teilweise gutgeheissen . 2.</w:t>
      </w:r>
    </w:p>
    <w:p>
      <w:r>
        <w:t>Es wird festgestellt, dass es sich bei den Massnahmen 2 und 3 des « Massnahme n pakets 2021 » d er Gemini Sammelstiftung (Einführung einer bedingungslosen Ausfinanzie rungspflicht für zurückgelassene Rentner bei Auflösung des Anschlussvertrages [Mass nahme 2] und Erhöhung des « Einkaufbeitrags » in die Ziel-Wertschwankungsreserve bei Pensionierung aktiver Versicherter von 1,5 % auf 7,5 % [Massnahme 3]) um wesentli che Vertragsänderungen im Sinne von Art. 53f BVG handelt und diese nicht in Kraft getreten sind. 3.</w:t>
      </w:r>
    </w:p>
    <w:p>
      <w:r>
        <w:t>Es wird festgestellt, dass der Anschlussvertrag vom 1 0. Juli / 1 5. August 2017 zwischen der X.___ AG und der Gemini Sammelstiftung bis zum Ablauf der Laufzeit nicht rechtsgültig aufgelöst wurde und - ohne die wesentlichen Vertragsänderungen gemäss Ziff. 2 - bis 31. Dezember 2022 fortbesteht. 4.</w:t>
      </w:r>
    </w:p>
    <w:p>
      <w:r>
        <w:t>Die Gemini Sammelstiftung wird verpflichtet, den Mehrbetrag des « Einkaufsbeitrags » in die Ziel-Wertschwankungsreserve des « Vorsorgewerks Renten » (neu: Renten 1) von 6 % des Sparkapitals (Belastung von 7,5 % statt 1,5 % ) dem Vorsorgewerk der</w:t>
      </w:r>
    </w:p>
    <w:p>
      <w:r>
        <w:t>X.___ AG für die in den Jahren 2021 und 2022 erfolgten Pensionierungen zurück zuerstatten. 5.</w:t>
      </w:r>
    </w:p>
    <w:p>
      <w:r>
        <w:t>Die Gemini Sammelstiftung wird verpflichtet, dem Vorsorgewerk der X.___ AG den belasteten Mehrbetrag an die ungedeckten Verwaltungskosten ( « Stiftungs abzug » ) in Höhe von 0,10 % der durchschnittlichen Sparkapitalien (Belastung von 0,25 % statt 0,15 % ) zurückzuerstatten, zuzüglich 5 % Zins ab dem Zeitpunkt der Be lastung. 6.</w:t>
      </w:r>
    </w:p>
    <w:p>
      <w:r>
        <w:t>Das Verfahren ist kostenlos. 7.</w:t>
      </w:r>
    </w:p>
    <w:p>
      <w:r>
        <w:t>Die Beklagte wird verpflichtet, der Klägerin eine Parteientschädigung von Fr. 4’000 .-- (inkl. Barauslagen und MWST) zu bezahlen. 8.</w:t>
      </w:r>
    </w:p>
    <w:p>
      <w:r>
        <w:t>Zustellung gegen Empfangsschein an: - Advokat Martin Dumas - Rechtsanwältin Dr. Isabelle Vetter-Schreiber - Bundesamt für Sozialversicherungen 9.</w:t>
      </w:r>
    </w:p>
    <w:p>
      <w:r>
        <w:t>Gegen diesen Entscheid kann innert</w:t>
      </w:r>
    </w:p>
    <w:p>
      <w:r>
        <w:rPr>
          <w:b/>
        </w:rPr>
        <w:t>E. 11</w:t>
      </w:r>
    </w:p>
    <w:p>
      <w:r>
        <w:t>Abs. 3 bis BVG erforderliche Einverständnis des Personals rechtskonform eingeholt habe. Gemäss bundesgerichtlicher Rechtsprechung könne das Mitwir kungsrecht nicht in ein Recht des Opponierens verkehrt werden. Dies gelte auch bei einer ausserordentlichen Kündigung nach Art. 53f BVG. Aufgrund falscher Informationen ihres Brokers sei die Klägerin im Zeitpunkt der Kündigung offen sichtlich davon ausgegangen, dass von einem Kassenwechsel einzig diejenigen Rentner betroffen seien, welche bereits vor dem Vertragsschluss mit i hr (der Be klagten) einen Rentenanspruch hatten. Im Rahmen der Einverständniserklärung sei somit das Personal falsch informiert worden, womit dessen Zustimmung nicht rechtsgültig erfolgt sein könne. Eine rechtsgenügliche Bestätigung der neuen Kasse gemäss Art. 53e Abs. 4 bis BVG sei dementsprechend ausgeblieben. Nicht rechtsgenügend seien in diesem Zusammenhang auch die Bestätigungen der</w:t>
      </w:r>
    </w:p>
    <w:p>
      <w:r>
        <w:t>Valitas Sammelstiftung BVG, da diese nicht mit den einschlägigen anschluss vertraglichen Regelungen übereinstimmen würden oder die Kasse die Übernahme der während der Anschlusszeit entstandenen Renten an eine vorzeitige, einver nehmliche Vertragsauflösung knüpfe. Zudem sei die Bestätigung auch zu spät erfolgt, denn gemäss dem unmissverständlichen Wortlaut von Art. 53e Abs. 4 bis BVG müsse diese vor der Kündigung ausgestellt worden sein ( Urk. 8 S. 16 f.). 4.3</w:t>
      </w:r>
    </w:p>
    <w:p>
      <w:r>
        <w:t>Der von der Klägerin geltend gemachten Verfahrensverletzung (ungenügende In formation über das « Massnahme n paket 2021 » ) entgegnet die Beklagte, die ange schlossenen Arbeitgeber seien generell durch Broker betreut. Diese seien am Brokeranlass vom 2 8. Januar 2021 ausführlich über das « Massnahme n paket 2021 » bzw. über die Änderungen im Rückstellungs- und im Stabilisierungs reglement informiert worden. Des Weiteren sei die Information bezüglich der Um wandlungssatzsenkung per 1. Januar 2022 bereits im Rahmen des « Massnahme n pakets 2018 » erfolgt. Die im « Massnahme n paket 2021 » beschlossene Senkung trete erst ab 2023 in Kraft ( Urk. 8 S. 10 f. , Urk. 2 5 S. 27 f. ) . 5. 5.1 5.1.1</w:t>
      </w:r>
    </w:p>
    <w:p>
      <w:r>
        <w:t>Gemäss Art. 50 Abs. 1 BVG sind die Vorsorgeeinrichtungen verpflichtet, regle mentarische Bestimmungen über die Leistung en ( lit . a), die Organisation ( lit . b), die Verwaltung und Finanzierung ( lit . c) , die Kontrolle ( lit . d) und das Verhältnis zu den Arbeitgebern, zu den Versicherten und zu den Anspruchsberechtigten ( lit .</w:t>
      </w:r>
    </w:p>
    <w:p>
      <w:r>
        <w:t>e ) zu erlassen . Bei den reglementarischen Bestimmungen handelt es sich um allgemeine Geschäfts- oder Vertragsbedingungen (AGB; AVB), die im Hinblick auf den künftigen Abschluss einer Vielzahl von Verträgen generell vorformuliert wurden. Die Kompetenz zum Erlass und zur Abänderung von Reg l ementen liegt beim Stiftungsrat ( Art. 51a Abs. 2 lit . c BVG). Als AGB sind Reg l emente und deren Änderungen nur dann und insoweit vom Konsens erfasst, als die zustim mende Partei bei Vertragsschluss oder -änderung zumindest die Möglichkeit hatte, von ihrem Inhalt in einer zumutbaren Weise Kenntnis zu nehmen (sog. Zugänglichkeitsregel; BGE 148 III 57 E. 2). Allerdings können Reg l emente auch einseitig durch die Vorsorgeeinrichtung abgeändert werde n , sofern die Parteien einen Abänderungsvorbehalt zugunsten der Stiftung vereinbart haben, welchem der Versicherte mit der Annahme des Vorsorgevertrages (ausdrücklich oder durch konkludentes Verhalten) zugestimmt hat (BGE 117 V 221 E. 4; zum gesetzlichen Zustimmungserfordernis bei der Erhöhung der Arbeitgeberbeiträge vgl. Art. 66 Abs. 1 BVG). 5.1.2</w:t>
      </w:r>
    </w:p>
    <w:p>
      <w:r>
        <w:t>Dem einseitigen Änderungsrecht sind Schranken gesetzt: Grundsätzlich nicht ein seitig abgeändert werden können wohlerworbene Rechte der versicherten Arbeit nehmer, welche im Rahmen des öffentlich-rechtlichen Verhältnisses mit der Vor sorgeeinrichtung durch die Eigentumsgarantie ( Art. 26 BV) und den Vertrauens schutz ( Art. 9 BV) geschützt sind. Dabei geht es vorderhand um fällige Ansprüche auf Alters- und Risikoleistungen, Freizügigkeitsleistungen und um das vorhan dene Sparguthaben bzw. den Ba r wert der erworbenen Leistungen. Die sich aus zwingenden gesetzlichen Bestimmungen ergebenden Rechte gelten als wohl erworben und können dem Destinatär nicht entzogen werden; über die zwingen den Gesetzesbestimmungen hinausgehende reglementarische Leistungsrechte werden dann zu wohlerworbenen Rechten, wenn sie im Reglement als unabän derlich zugesichert wurden (vgl. Vetter-Schreiber, Kommentar BV G /FZG, 4. Auf l ., Zürich 2021, Art. 50 Rz . 4 ff.; zur einseitigen Änderungsmöglichkeit bei ausser ordentlicher Gefährdung des finanziellen Gleichgewichts vgl. BGE 138 V 366). Nicht als wohlerworbenes Recht gilt die Anwendung eines bestimmten Umwand lungssatzes; die Anpassung der Umwandlungssätze an die Verhältnisse auf dem Finanzmarkt stellt die dem Beitragsprimat inhärente Vorgehensweise der Vorsor geeinrichtungen dar (BGE 133 V 279 E. 3.1 und 3.3). 5.1.3</w:t>
      </w:r>
    </w:p>
    <w:p>
      <w:r>
        <w:t>Der Anspruch auf Rechtsgleichheit ( Art. 8 BV) und das Willkürverbot ( Art. 9 BV) begrenzen das Recht auf einseitige Vertragsänderung weiter. Diese Ansprüche sind verletzt, wenn sich eine Reglement s änderung nicht auf ernsthafte Gründe stützen lässt, wenn sie sinn- oder zwecklos ist, wenn sie rechtliche Unterschei dungen trifft, für die sich kein vernünftiger Grund finden lässt oder wenn sie es unterlässt, Unterscheidungen zu treffen, die richterweise hätten berücksichtigt werden müssen (Vetter-Schreiber, a.a.O ,, Art. 50 Rz . 10 ) . 5.2 5.2.1</w:t>
      </w:r>
    </w:p>
    <w:p>
      <w:r>
        <w:t>Auch die Beendigung von Anschlussverträgen richtet sich nach privatrechtlichen Grundsätzen. An gewissen Stellen schränkt das BVG die Vertragsfreiheit ein (Stauffer, Berufliche Vorsorge, 3. Aufl., Zürich 2019 ,</w:t>
      </w:r>
    </w:p>
    <w:p>
      <w:r>
        <w:t>Rz . 1772). Das jederzeitige Kündigungsrecht des Auftragsrechts ( Art. 404 OR) gelangt gemäss der Rechtspre chung des Bundesgerichts nicht zur Anwendung, da es sich um einen Dauer vertrag sui generis handelt, bei dem den Parteien bei der Festlegung von Kündi gungsklauseln eine erhebliche Freiheit zukommt (BGE 120 V 299 E. 4). Der Arbeitgeber ist somit grundsätzlich nicht berechtigt, den Anschlussvertrag vor Ablauf einer vertraglich vereinbarten Frist aufzulösen (Stauffer, a.a.O., Rz . 1767). Art. 53f BVG sieht indessen ein ausserordentliches Kündigungsrecht vor, wenn die Vorsorgeeinrichtung eine wesentliche einseitige Vertragsänderung vornimmt. Eine solche berechtigt den Arbeitgeber, den Vertrag unter Einhaltung einer Kün digungsfrist von 30 Tagen schriftlich auf den Zeitpunkt zu kündigen, auf den die einseitige Vertragsänderung in Kraft treten soll ( Art. 53f Abs. 2 BVG). Das Kün digungsrecht gilt angesichts des Verweises in Art. 49 Abs. 2 Ziff.</w:t>
      </w:r>
    </w:p>
    <w:p>
      <w:r>
        <w:rPr>
          <w:b/>
        </w:rPr>
        <w:t>E. 11.9</w:t>
      </w:r>
    </w:p>
    <w:p>
      <w:r>
        <w:t>i hres Rahmenreglements sieht die Be klagte im Bereich der Beiträge einen Verzugszins gemäss Art. 104 OR von 5 % vor ( Urk. 2/11, Urk. 2/12) . Dieser Zinssatz ist auch auf die vorliegende Rück erstattungsforderung anzuwenden. 6.9</w:t>
      </w:r>
    </w:p>
    <w:p>
      <w:r>
        <w:t>Als Zwischenfazit ist festzuhalten, dass die Massnahmen 2 (Ausfinanzierungs pflicht für zurückgelassene Rentner bei Auflösung des Anschlussvertrages) und 3</w:t>
      </w:r>
    </w:p>
    <w:p>
      <w:r>
        <w:t>(Erhöhung des « Einkaufbeitrags » in die Ziel-Wertschwankungsreserve bei Pen sionierung aktiver Versicherter) wesentliche Vertragsänderungen im Sinne von Art. 53f BVG darstellten. Zudem entfaltet die Erhöhung des Stiftungsabzugs (Massnahme 5) keine Wirkung . 7.</w:t>
      </w:r>
    </w:p>
    <w:p>
      <w:r>
        <w:rPr>
          <w:b/>
        </w:rPr>
        <w:t>E. 12</w:t>
      </w:r>
    </w:p>
    <w:p>
      <w:r>
        <w:t>BVG und Art. 89a Abs. 6 Ziff. 10 ZGB auch im überobligatorische n Bereich der beruflichen Vorsorge und besteht unabhängig vom vereinbarten Vertrags ab lauf und/oder an deren anschlussvertraglichen Vereinbarungen (Brechbühl/Grob, Wechsel der Vor sorgeeinrichtung, in; Kieser/Stauffer [Hrsg.], BVG-Tagung 2018, Aktuelle Fragen der beruflichen Vorsorge, Zürich 2018, S . 5). 5.2.2</w:t>
      </w:r>
    </w:p>
    <w:p>
      <w:r>
        <w:t>Als wesentliche Änderung eines Anschlussvertrages gilt gemäss Art. 53f Abs. 4 BVG zunächst die Erhöhung derjenigen Beiträge, denen nicht Gutschriften auf den Guthaben der Versicherten entsprechen, wenn diese innerhalb von drei Jah ren mindestens zehn Prozent beträgt ( lit . a). Weitere wesentliche Vertragsände rungen sind die Senkung des Umwandlungssatzes, die für Versicherte zu einer Senkung ihrer voraussichtlichen Altersleistung um mindestens 5 Prozent führt ( lit . b); andere Massnahmen, deren Wirkungen denjenigen nach den Buchstaben a und b mindestens gleichkommen ( lit . c); und der Wegfall der vollen Rück deckung ( lit . d). Änderungen nach Abs. 4 gelten nicht als wesentlich, wenn sie</w:t>
      </w:r>
    </w:p>
    <w:p>
      <w:r>
        <w:t>Folge einer Änderung der rechtlichen Grundlagen sind ( Art. 53f Abs . 5 BVG). Zusammenfassend ist dann von einer wesentlichen Vertragsänderung auszuge hen, wenn diese (1) eine wesentliche wirtschaftliche Auswirkung (i.d.R. finanzie rungs - oder leistungsseitig) oder (2) einen Wegfall der vollen Rückdeckung zur Folge hat. Ob die wirtschaftliche Auswirkung wesentlich ist, bemisst sich dabei nach den Beispielen in lit . a und b ( Peter, Basler Kommentar, Berufliche Vorsorge, 2020, Art. 53f Rz . 40 ff. ) . Die in Abs. 4 aufgeführten Beispiele zeigen, dass nach dem Willen des Gesetzgebers auch einseitige Änderungen von Reg l ementen als Vertragsänderung im Sinne von Art. 53f BVG g elten ( Peter, a.a.O., Art. 53f Rz .</w:t>
      </w:r>
    </w:p>
    <w:p>
      <w:r>
        <w:t>18). 5.2.3</w:t>
      </w:r>
    </w:p>
    <w:p>
      <w:r>
        <w:t>Während lit . a, b und d konkrete Vertragsänderungen aufführen, bildet lit . c einen Auffangtatbestand für sonstige wesentliche Vertragsänderungen. Die Subsump tion unter diese Generalklausel bildet in der Praxis Schwierigkeiten . So ist in der Lehre beispielsweise streitig, ob eine Vertragsänderung im Sinne von lit . c direkt der Leistungs- oder Finanzierungsseite zugeordnet werden können muss, um als wesentlich zu gelten (in diesem Sinne beispielshaft Kieser, in: Schneider/Gei ser/Gächter, Kommentar zum schweizerischen Sozialversicherungsrecht, BVG</w:t>
      </w:r>
    </w:p>
    <w:p>
      <w:r>
        <w:t>und FZG,</w:t>
      </w:r>
    </w:p>
    <w:p>
      <w:r>
        <w:t>2. Aufl., Genf/St. Gallen/Zürich 2019, Art. 53f BVG</w:t>
      </w:r>
    </w:p>
    <w:p>
      <w:r>
        <w:t>Rz . 17; keine solche Zuordnung verlangt hingegen Peter, a.a.O., Art. 53f Rz . 3 und 53). Soweit eine solche Zuordnung als zwingend vorausgesetzt wird, stellt eine neu eingeführte Pflicht, den gesamten Rentnerbestand zukünftig zur neuen Vorsorgeeinrichtung mitnehmen zu müssen, dann eine "andere Massnahme" im Sinne von lit . c dar, wenn dies mit der reglementarischen Einführung einer Ausfinanzierungspflicht für das Zurücklassen eines bestimmten Rentnerbestandes verbunden wird (vgl. Peter, a.a.O., Art. 53f Rz . 53) . 5.2.4</w:t>
      </w:r>
    </w:p>
    <w:p>
      <w:r>
        <w:t>Aus Letzterem folgt, dass mit der Auflösung des Anschlussvertrages auch das Schicksal derjenigen Versicherten zu regeln ist, welche bereits Alters- oder Risi koleistungen bei der bisherigen Vorsorgeeinrichtung beziehen (Stauffer, a.a.O., Rz . 1788 f . ). Löst der Arbeitgeber den Anschlussvertrag mit seiner Vorsorge einrichtung auf, so haben sich die bisherige und die neue Vorsorgeeinrichtung über den Verbleib der Rentenbezüger bei der bisherigen oder den Wechsel zur neuen Vorsorgeeinrichtung zu einigen, sofern der Anschlussvertrag für diesen Fall keine Regelung vorsieht ( Art. 53e Abs. 4 BVG), In der Praxis hat sich gezeigt, dass sowohl die Übernahme des Rentnerbestandes durch die neue Versicherung als auch der Verbleib von Rentnern bei der ehemaligen Vorsorgeeinrichtung er hebliche finanzielle Auswirkungen zeitigt. Bei einer Übertragung des Deckungs kapitals können sich beispielsweise unerwünschte Differenzen ergeben. Rechnet die neue Vorsorgeeinrichtung mit einem tieferen technischen Zinssatz, wird ein höheres Deckungskapital benötigt, als bei der vorherigen Vorsorgeeinrichtung gebildet worden ist. Wird diese Differenz nicht durch eine zusätzliche Einlage des Arbeitgebers finanziert, führt die Rentnerübernahme bei der neuen Vorsorge einrichtung zu unerwünschten Querfinanzierungen (Stauffer, a.a.O., Rz . 1784; Stauffer, Darum prüfe, wer sich (ewig) bindet ! , in: Kieser/ Lendfers [Hrsg.], Jahr buch zum Sozialversicherungsrecht, Zürich 2020, S. 177 [nachfolgend: Stauffer, JaSo 2020]). Zugleich kann sich die Übernahme auch negativ auf die ehemalige Vorsorgeeinrichtung auswirken: Dies ist namentlich dann der Fall, wenn bei einem Kassenwechsel den austretenden Versicherten mindestens das Altersgut haben nach Art.</w:t>
      </w:r>
    </w:p>
    <w:p>
      <w:r>
        <w:rPr>
          <w:b/>
        </w:rPr>
        <w:t>E. 15</w:t>
      </w:r>
    </w:p>
    <w:p>
      <w:r>
        <w:t>BVG mitgegeben werden muss, obwohl dieses durch das aktuelle Deckungskapital nicht gedeckt ist . Aufgrund von Art.</w:t>
      </w:r>
    </w:p>
    <w:p>
      <w:r>
        <w:rPr>
          <w:b/>
        </w:rPr>
        <w:t>E. 18</w:t>
      </w:r>
    </w:p>
    <w:p>
      <w:r>
        <w:t>und 19 FZG kann die abgebende Vorsorgeeinrichtung den Fehlbetrag nicht dem austretenden Bestand belasten, sondern muss diesen aus eigenen Mitteln decken, was ebenfalls zu einer Querfinanzierung führt. Soll dies vermieden werden, muss im Anschluss vertrag die Pflicht des Arbeitgebers vereinbart werden, bei Auflösung des Ver trags und Nichterreichen des BVG-Altersguthabens den Fehlbetrag zu decken (sog. Ausfinanzierungspflicht; vgl. BGE 141 V 597; Stauffer, JaSo 2020, S. 178 f.). Ohne eine solche Vereinbarung im Anschlussvertrag selber oder in den dazu gehörigen Reg l ement en besteht keine Pflicht des Arbeitgebers, sich an der Aus finanzierung einer Unterdeckung zu beteiligen (Stauffer, a.a.O., Rz . 476, mit Hin weisen) . Der Verbleib von arbeitgeberlosen Rentnern birgt für die Vorsorge einrichtung zudem das Risiko, dass Unterdeckungen nicht genügend saniert wer den können . Kommt es nach dem Wechsel bei der ehemaligen Vorsorgestiftung zu einer Unterdeckung (Vermögen der Pensionskasse deckt deren Verpflichtun gen nicht mehr vollständig), fehlt es hinsichtlich der verbliebenen Rentner an aktiven Versicherten, welche die Unterdeckung durch die Leistung von Zusatz beiträgen (sog. Sanierungsbeiträge) beheben könnten. Zudem ist bei einem reinen Rentnerbestand auch keine Senkung des Zinssatzes auf den Altersguthaben mög lich, da diese Massnahme ebenfalls das Vorhandensein aktiver Versicherter voraussetzt (vgl. Art. 65d BVG; Stauffer, JaSo 2020, S. 177 f.; vgl. aber bei rechts missbräuchlichem Verhalten des Arbeitgebers BGE 144 V 173). Es liegt somit im Interesse der Vorsorgeeinrichtungen, die Anschlussverträge derart auszugestal ten, dass möglichst wenig zusätzliche Finanzierungsrisiken eingegangen werden, andernfalls es zu unerwünschten Solidaritäts w irkungen kommt (Stauffer, JaSo , S. 181). Zugleich haben die Arbeitgeber ein finanzielles Interesse daran, dass sie bestehende Renten bei der vormaligen Vorsorgeeinrichtung belassen können (Stauffer, a.a.O., Rz . 1784). 6. 6.1</w:t>
      </w:r>
    </w:p>
    <w:p>
      <w:r>
        <w:t>Zwischen den Parteien ist strittig, ob es sich bei den Massnahmen des « Massnah me n pakets 2021 » um wesentliche Vertragsänderungen gehandelt hat oder nicht. Im Nachfolgenden ist zu prüfen, ob sie als wesentliche Vertragsänderung zu qua lifizieren sind.</w:t>
      </w:r>
    </w:p>
    <w:p>
      <w:r>
        <w:t>Damit einhergehend ist die Frage zu beantworten, ob der Klägerin ein ausserordentliches Kündigungsrecht nach Art. 53f BVG zukam. 6.2 6.2.1</w:t>
      </w:r>
    </w:p>
    <w:p>
      <w:r>
        <w:t>Die Klägerin beanstandet insbesondere die Massnahme 2, mit der die Beklagte die Arbeitgeber zur Mitnahme sämtlicher Rentner oder zur Bezahlung einer «Verstär kung des Deckungskapitals» verpflichtet hat. Diese Massnahme ist eng mit der Auslagerung und Ausfinanzierung der nach der Pensionierung arbeitgeberlosen Rentner und der Senkung des technischen Zinssatzes im «Vorsorgewerk Renten 2» (Massnahme 1) verknüpft und daher mit dieser gemeinsam zu beurteilen. 6.2.2</w:t>
      </w:r>
    </w:p>
    <w:p>
      <w:r>
        <w:t>Das Kündigungsrecht nach Art. 53f BVG setzt zunächst voraus, dass die Vorsor geeinrichtung die Vertragsgrundlagen einseitig abgeändert hat. Zu den massge benden Änderungen gehören auch Reglement s änderungen , sofern die Parteien diese ausdrücklich oder konkludent zum Vertragsbestandteil erklärt haben. Wie sich aus den nachfolgenden Erwägungen ergibt, erweist sich der Anschlussver trag vom 1 0. Juli / 1 5. August 2017 ( Urk. 2/ 5 ) zumindest bis zu seiner ordentli chen Kündigung per 3 1. Dezember 2022 ( Urk. 31/2) und soweit für vorliegende Belange interessierend als gültig. In</w:t>
      </w:r>
    </w:p>
    <w:p>
      <w:r>
        <w:t>Ziff.</w:t>
      </w:r>
    </w:p>
    <w:p>
      <w:r>
        <w:rPr>
          <w:b/>
        </w:rPr>
        <w:t>E. 18.6</w:t>
      </w:r>
    </w:p>
    <w:p>
      <w:r>
        <w:t>[Rahmenreglement 2021]). 6.6.2</w:t>
      </w:r>
    </w:p>
    <w:p>
      <w:r>
        <w:t>Die Altersrente wird in Prozenten des Altersguthabens (Umwandlungssatz) be rechnet, das der Versicherte bei Erreichen des Rentenalters erworben hat ( Art. 14 Abs. 1 BVG). In Art. 14 Abs. 2 BVG hat der Gesetzgeber den Mindestumwand lungssatz bei 6,8 % für das ordentliche Rentenalter festgelegt. Als umhüllende Vorsorgeeinrichtung ist die Beklagte j edoch befugt, den Rentenumwandlungssatz reglementarisch tiefer festzulegen, sofern der aus dem Überobligatorium resultie rende Anspruch mindestens demjenigen nach BVG entspricht (BGE 136 V 65 E.</w:t>
      </w:r>
    </w:p>
    <w:p>
      <w:r>
        <w:t>3.7; Urteile des Bundesgerichts 9C_464/2015 vom 3 1. Mai 2016, E . 2.5.2, B</w:t>
      </w:r>
    </w:p>
    <w:p>
      <w:r>
        <w:t>74/03 vom 2 9. März 2004 E. 3.3.3; Stauffer, in: Basler Kommentar Berufliche Vorsorge, a.a.O., Art. 14 Rz . 18). Diesbezüglich ist in Erinnerung zu rufen, dass die berufliche Vorsorge, im Unterschied zur ersten Säule, auf dem Kapital deckungsverfahren basiert. Die Vorsorgeeinrichtung hat das Beitragssystem und die Finanzierung so zu regeln, dass die Leistungen im Rahmen des Gesetzes bei Fälligkeit erbracht werden können ( Art. 65 Abs. 2 BVG). Dem Stiftungsrat als oberstes Organ muss es möglich sein, die finanztechnischen Grundlagen den ak tuellen (Markt-)Verhältnissen anpassen und hierfür auch die Vertragsgrundlagen einseitig abzuändern (vgl. Art. 49a Abs. 1 BVV 2). 6.6.3</w:t>
      </w:r>
    </w:p>
    <w:p>
      <w:r>
        <w:t>Als wesentliche Änderung eines Anschlussvertrages gilt die Senkung des Um wandlungssatzes wie ausgeführt (E. 6.5.3 hiervor) dann, wenn sie für Versicherte zu einer Senkung ihrer voraussichtlichen Altersleistung um mindestens 5 Prozent führt ( Art. 53f Abs. 4 lit . b BVG). Anders als bei der Erhöhung von Beiträgen, die nicht dem Guthaben der Versicherten gutgeschrieben werden ( lit . a), hat der Ge setzgeber bei der Senkung des Umwandlungssatzes auf die Angabe einer erwei terten Zeitspanne verzichtet. Für die Bestimmung der Wesentlichkeit sind damit nicht - wie die Klägerin meint - die addierten Senkungen der letzten drei oder mehr Jahre massgebend, sondern die jeweils separaten Beschlüsse über eine Sen kung. Vorliegend ist somit einzig die mit dem « Massnahme n paket 2021 » be schlossenen Senkung von 5,6 % (2022) auf 5,4 % (2024) zu beurteilen. Entgegen der Ansicht der Klägerin führt diese Senkung nicht zu einer Verminderung der voraussichtlichen Altersleistung um 5 % , sondern nur um 3,57 % . Ferner liegen die von der Beklagten festgesetzten Umwandlungssätze gemäss dem Schweizer Pensionskassen Rating ungefähr im Schweizerischen Durchschnitt (vgl. Pensions kassenvergleich 202 3 , abrufbar unter</w:t>
      </w:r>
    </w:p>
    <w:p>
      <w:r>
        <w:t>https://spkr.ch/de/pensionskassen-vergleich</w:t>
      </w:r>
    </w:p>
    <w:p>
      <w:r>
        <w:t>/202 3 /umwandlungssatz-m-65).</w:t>
      </w:r>
    </w:p>
    <w:p>
      <w:r>
        <w:t>Dass die Beklagte mit der streitigen Senkung gegen die gesetzlichen Minimalvorgaben verstossen hätte, ist nicht ersichtlich und wird von der Klägerin auch nicht geltend gemacht. 6.7</w:t>
      </w:r>
    </w:p>
    <w:p>
      <w:r>
        <w:t>D ie geänderten Solidaritätsbeiträge zugunsten des « Vorsorgewerks Renten 1» (Massnahme 6) stellen ebenfalls keine wesentliche Vertragsänderung dar . Der mit dem « Massnahme n paket 2018 » eingeführte, vom Deckungsgrad abhängige Bei trag ist neu erst bei einem Deckungsgrad von 98,5 % anstelle von 100 % geschul det ( Urk. 2/14 [Reglement zur Stabilisierung des Vorsorgewerks Renten 1 2021], Urk. 9/7, Urk. 9/8) . Es handelt sich somit um eine Beitragsverminderung, die von vornherein nicht in den Anwendungsbereich von Art. 53f BVG fällt . 6.8 6.8.1</w:t>
      </w:r>
    </w:p>
    <w:p>
      <w:r>
        <w:t>Einzugehen ist schliesslich auf die Erhöhung des Stiftungsabzugs von 0,15 % auf 0,25 % . Die Klägerin macht diesbezüglich geltend, für einen solchen Abzug fehle es an einer genügenden Rechtsgrundlage ( Urk. 18 S. 21). Mit dem Stiftungsabzug finanzierte die Beklagte in der Vergangenheit « nicht gedeckte Kosten der Stif tung » wie Honorare für Gremien, PK-Experte, Aufsichtsbehörde und M a kler (vgl. Geschäftsbericht 2019 S. 36 , Urk. 9/6 ; Powerpoint - Präsentation vom 2 8. Januar 2021 S. 18 , Urk. 2/9 ). Beim besagten Abzug handelte es sich somit um einen Beitrag an die übrigen Verwaltungskosten, den die Beklagte offenbar zusätzlich zum vertraglich vereinbarten Verwaltungskostenbeitrag erhoben hatte (vgl. Ziff.</w:t>
      </w:r>
    </w:p>
    <w:p>
      <w:r>
        <w:rPr>
          <w:b/>
        </w:rPr>
        <w:t>E. 21</w:t>
      </w:r>
    </w:p>
    <w:p>
      <w:r>
        <w:t>des Rücks t ellungsreglements 2020, Urk. 2/13 ). Dass die streitigen Änderungen finanzielle Auswirkungen zei tigen (vgl. nachfolgend E. 6.4) , ändert an der grundsätzlichen Zulässigkeit einer einseitigen Vertragsänderung nichts. Bei der im Voraus erteilten Zustimmung zu Reglement s änderungen (Urk. 2/5 Ziff. 3.1) handelt es sich um eine Art General vollmacht an die Kassenorgane, die auch die Zustimmung zu Änderungen mit finanziellen Auswirkungen erfasst (Urteil des Bundesgerichts 2A.609/2004 vom 1 3. Mai 2005 E. 2 . 3) . Nur aussergewöhnliche Regelungen, die der Charakteristik des BVG von vornherein widersprechen, sind nicht durch einen allgemeinen, reg lementarischen Zustimmungsvorbehalt gedeckt (Stauffer, a.a.O., Rz . 486 ). Ein sol cher Widerspruch zur Konzeption des BVG ist vorliegend nicht erkennbar. So dann ist auch nicht ersichtlich, dass die genannten Vertragsänderungen wohl erworbene Rechte der versicherten Arbeitnehmer ( Art. 9 BV; Art.</w:t>
      </w:r>
    </w:p>
    <w:p>
      <w:r>
        <w:rPr>
          <w:b/>
        </w:rPr>
        <w:t>E. 26</w:t>
      </w:r>
    </w:p>
    <w:p>
      <w:r>
        <w:t>BV) tangie ren, gegen das Rechtsgleichheitsgebot ( Art. 8 BV) oder Willkürverbot ( Art. 9 BV) verstossen oder dem Stiftungszweck zuwiderlaufen würden. Die Abänderung der genannten Bestimmungen war somit - mit Ausnahme der Erhöhung des Stif tungsabzugs (vgl. unten E. 6.8) - grundsätzlich zulässig. 6.3</w:t>
      </w:r>
    </w:p>
    <w:p>
      <w:r>
        <w:t>Zu prüfen bleibt, ob es sich bei den geänderten Bestimmungen um wesentliche Vertragsänderungen handelte, so dass die Klägerin berechtigt war, den An schlussvertrag ausserordentlich aufzulösen. Dabei gehen die Parteien zu Recht davon aus, dass in Frage steht, ob die genannten Änderungen zum Rentenwesen eine "andere Massnahme" im Sinne von Art. 53f Abs. 4 lit . c BVG darstellen. Deren Wirkungen müssen denjenigen nach den Buchstaben a und b mindestens gleichkommen, damit eine wesentliche Vertragsänderung vorliegend bejaht wer den könnte. 6.4 6.4.1</w:t>
      </w:r>
    </w:p>
    <w:p>
      <w:r>
        <w:t>Um die Wesentlichkeit zu beurteilen, ist auf das Rentnersystem der Beklagten einzugehen : Gemäss Anschlussvereinbarung vom 1 0. Juli / 1 5. August 2017 kön nen die Alters- und H i nterlassenenrentner mit Versicherungsbeginn während der Vertragsdauer bei einer Vertragsauflösung ohne weitere Voraussetzungen bei der Beklagten verbleiben (vgl. Ziff. 7 des Anschlussvertrags ; Urk. 2/5 ). Mit dem « Massnahme n paket 2018 » machte die Beklagte den kostenlosen Verbleib von Rentnern von einer Mindestanschlussdauer des Arbeitgebers von zehn Jahren ab hängig. War diese Dauer noch nicht erreicht, musste der Arbeitgeber entweder sämtliche Rentner mitnehmen oder für die zurückgelassenen Rentner einen sog. « Langlebigkeitszuschlag » von 2 , 5 % des Deckungskapitals entrichten. Das De ckungskapital der arbeitgeberlosen Rentner führte die Beklagte im einheitlichen « Vorsorgewerk Renten » und wendete dabei auch für diese den technischen Zins satz von 2,0 % an ( vgl. Geschäftsbericht 2017, Urk. 9/ 3 ; Stab i lisierungsmassnah men Vorsorgewerk Renten, datiert vom 2 6. Oktober 2017, gültig ab 1. Oktober 2018, Urk. 9/4; Factsheet «GEMINI stellt die Weichen für die Zukunft», Urk. 9/5). Ob und inwiefern diese mit dem «Massnahme n paket 2018» eingeführte Regelung in Bezug auf die Klägerin Anwendung findet, ist zwischen den Parteien strittig ( Urk. 8 S. 6 f., Urk. 18 S. 5), kann jedoch offen bleiben . 6.4.2</w:t>
      </w:r>
    </w:p>
    <w:p>
      <w:r>
        <w:t>Mit dem « Massnahme n paket 2021 » wird das Deckungskapital der verbleibenden Rentner ohne aktiven Arbeitgeber neu in ein separates Vorsorgewerk ( « Vorsorge werk Renten 2 » ) überführt. De n technische n Zinssatz hat die Beklagte für dieses Vorsorgewerk auf 0 % gesenkt (vgl. Urk. 2/13 ). Der technische Zins ist derjenige Zins, der in Zukunft auf dem verbleibenden Deckungskapital im Durchschnitt erwirtschaftet werden muss, um die Leistung während der mutmasslichen Leis tungsdauer erbringen zu können. Der technische Zinssatz bildet dabei die hypo thetische Kennzahl, mit der das notwendige Rentendeckungskapital ermittelt wird. Er ist nicht zu verwechseln mit dem BVG-Mindestzinssatz oder dem Zins satz, mit dem die Altersguthaben effektiv verzinst werden. Je tiefer der technische Zinssatz ist, desto höher muss das Deckungskap i tal sein (Stauffer, a.a.O., Rz .</w:t>
      </w:r>
    </w:p>
    <w:p>
      <w:r>
        <w:t>1783). Die adäquate Höhe des Zinssatzes wird nach der zukünftigen Rendite erwartung auf dem realen Kapitalmarkt festgelegt und lässt sich nicht nach ma thematischen Massstäben bestimmen. Die Angemessenheit der festgelegten Höhe kann somit erst im Nachhinein anhand der tatsächlich erzielten Kapitalerträge überprüft werden . Sinken die realen Zinseinnahmen aufgrund zurückgehender Zinssätze auf dem Kapitalmarkt, sollte demzufolge auch der technische Zinssatz angepasst werden (Stauffer, JaSo 2020, S. 176). 6.4.3</w:t>
      </w:r>
    </w:p>
    <w:p>
      <w:r>
        <w:t>Wird also das Deckungskapital eines Rentners aufgrund einer Vertragsauflösung vom « Vorsorgewerk Renten 1 » mit einem technischen Zinssatz von 2 ,0 % ins « Vorsorgewerk Renten 2 » mit einem technischen Zinssatz von 0 % überführt (vgl. Urk. 2/13) , muss das Deckungs k apital aufgrund des tieferen technischen Zins satzes entsprechend erhöht werden, damit die kalkulierte Leistung während der mutmasslichen Leistungsdauer erbracht werden kann. Diese « Verstärkung des Deckungskapitals » , wie sie die Beklagte selber nennt, muss gemäss den neuen Reglement s bestimmung en der Arbeitgeber bezahlen, und zwar ungeachtet davon, wie lange er zuvor bereits bei der Beklagten angeschlossen war. Gemäss Ziff. 5.4 des revidierten Rückstellungsreglements kann der Fehlbetrag entweder dem Vor sorgewerk des Arbeitgebers belastet oder von diesem direkt bezahlt werden ( Urk. 2/13 ). Wie die Klägerin zu Recht moniert, hat die Beklagte dadurch eine Ausfinanzierungspflicht eingeführt, die in diesem Umfang zuvor nicht bestanden hat. Der Arbeitgeber kann sich der Ausgleichszahlung nur entziehen, wenn er den gesamten Rentnerbestand mitnimmt. Ein kostenloses Zurücklassen von Renten beständen ist, wie die Beklagte in ihrer Powerpoint - Präsentation selber ausführt, mit dem « Massnahme n paket 2021 » im Gegensatz zu vorher nicht mehr möglich ( Urk. 2/9 S. 14). 6.4.4</w:t>
      </w:r>
    </w:p>
    <w:p>
      <w:r>
        <w:t>Entgegen der Ansicht der Beklagten hat dieser Systemwechsel für die austreten den Arbeitgeber wesentliche wirtschaftliche Auswirkungen (zur finanziellen Be deutung des Rentnertransfers vgl. oben E. 5. 2 .4). Diese Auswirkungen sind mit denjenigen der Anwendungsf ä lle in Art. 53f Abs. 4 lit . a und b BVG vergleichbar. Zwar ist der Beklagten zuzustimmen ( Urk. 8 S. 23) , dass die Auslagerung der arbeitgeberlosen Rentner in ein separates Vorsorgewerk und die Senkung des technischen Zinssatzes für sich allein genommen wohl noch keine wesentliche Vertragsänderung darstellen (vgl. hierzu Vetter-Schreiber, a.a.O., Art. 53f Rz . 1). Anders verhält es sich demgegenüber mit der neu eingeführten Pflicht der Arbeit geber, für das hierdurch entstandene Manko aufzukommen oder - unabhängig von der Anschlussdauer - sämtliche Rentner bei der neuen Vorsorgeeinrichtung anzuschliessen. Die einseitige Einführung einer solchen Ausfinanzierungspflicht stellt einen finanzierungsrelevanten Systemwechsel dar, der als wesentliche Ver tragsänderung im Sinne von Art. 53f Abs. 4 lit . c BVG zu qualifizieren ist (so bereits das Verwaltungsgericht des Kantons Obwalden, Prozess Nr. VK22/001, Entscheid vom 2 7. Dezember 2022, E. 6.4.4; Urk. 31/1) . Nicht ausschlaggebend ist dabei, dass die Klägerin im Zeitpunkt der Vertragsänderung die zehnjährige Anschlussdauer noch nicht erreicht hatte. Ungeachtet dessen kann diese in Zu kunft nur noch mit Kos t enfolge Rentner bei der Beklagten zurücklassen . Damit ist sie bereits heute wesentlich in ihrer Rechtsstellung betroffen . 6.5 6.5.1</w:t>
      </w:r>
    </w:p>
    <w:p>
      <w:r>
        <w:t>Zu prüfen ist weiter , ob auch die übrigen Massnahmen wesentliche Vertrags änderungen darstellen. Als dritte Massnahme erhöhte die Beklagte den Beitrag, den die Arbeitgeber bei der Pensionierung eines aktiven Versicherten i n die Ziel-Wertschwankungsreserve des Vorsorgewerks Renten (neu: Renten 1) zu leisten haben. Einen solchen « Einkaufsbeitrag » hatte die Beklagte mit dem « Massnah me n paket 2018 » eingeführt (vgl. Urk. 9/4, Urk. 9/5). Mit dem « Massnahme n paket 2021 » hat sie den Arbeitgeberbeitrag von 1,5 % auf 7,5 % des geäufneten Spar kapitals erhöht (vgl. Stabilisierungsreglement 2021, Ziff. 3.1; Urk. 2/14). 6.5.2</w:t>
      </w:r>
    </w:p>
    <w:p>
      <w:r>
        <w:t>Eine Beitragserhöhung im Sinne von Art. 53f Abs. 4 lit . a BVG gilt nur dann als wesentlich, wenn sie Beiträge betrifft, die nicht den Guthaben der Versicherten gutzuschreiben sind. Gemeint sind in erster Lin i e Risiko- und Verwaltungs kostenbeiträge, die den Guthaben der Versicherten überhaupt nicht gutgeschrie ben werden. In zweiter Linie sind aber auch andere Beiträge in dem Umfang ge mein t , in welchem sie nicht den Guthaben der Versicherten gut ge schrieben werden ( Peter, a.a.O., Art. 53f Rz . 43 ).</w:t>
      </w:r>
    </w:p>
    <w:p>
      <w:r>
        <w:t>Dem Beitrag zur Finanzierung der Ziel-Wert schwankungsreserven des « Vorsorgewerks Renten 1 » kommt daher grundsätzlich Charakter eines Beitrags im S inne von Art. 53 Abs. 4 lit . a BVG zu. Isoliert be trachtet steigt der Beitrag durch die Erhöhung von 1,5 % auf 7,5 % um 400 % . Massgebend für das Vorliegen eines Kündigungsgrunds im Sinne von Art. 53 f</w:t>
      </w:r>
    </w:p>
    <w:p>
      <w:r>
        <w:t>Abs. 4 lit . a BVG</w:t>
      </w:r>
    </w:p>
    <w:p>
      <w:r>
        <w:t>ist jedoch nicht die Erhöhung einer einzelnen Beitragsart, son dern</w:t>
      </w:r>
    </w:p>
    <w:p>
      <w:r>
        <w:t>ob die von Versicherten und Arbeitgeber zusammen zu tragende gesamte (nicht sparprozessrelevante) Beitragslast sich um 10 % erhöht (vgl. d azu Peter, a.a.O.,</w:t>
      </w:r>
    </w:p>
    <w:p>
      <w:r>
        <w:t>Art. 53f Rz . 46). Ob konkret die Erhöhung des Einkaufsbeitrags in die Ziel-Wertschwankungsreserve von 1,5 auf 7,5 % unter Berücksichtigung sämtlicher Risiko- und Verwaltungsbeiträge zu einer Erhöhung von 10 % führt, lässt sich gestützt auf die vorliegende Aktenlage nicht beurteilen. 6.5.3</w:t>
      </w:r>
    </w:p>
    <w:p>
      <w:r>
        <w:t>Die Klägerin stützt sich denn auch nicht auf Art. 53f Abs. 4 lit . a BVG , sondern qualifiziert die vorgenommene Anpassung als wesentlich im Sinne von Art. 53f Abs. 4 lit . c i.V.m . lit . b BVG ( Urk. 1 S. 22) . Dem ist beizupflichten. Faktisch stellt der ab 1. Januar 2021 bei der Pensionierung zu leistende zusätzliche Beitrag von 7,5 % des Sparkapitals eine Senkung des Umwandlungssatzes dar. Der Umwand lungssatz betrug im Jahr 2021 5,7 % ( Urk. 2/12</w:t>
      </w:r>
    </w:p>
    <w:p>
      <w:r>
        <w:t>Ziff.</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