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BV.2021.00062 vom 8. Dezember 2022</w:t>
      </w:r>
    </w:p>
    <w:p>
      <w:r>
        <w:t>ZH Sozialversicherungsgericht, 2022-12-08, DE</w:t>
      </w:r>
    </w:p>
    <w:p>
      <w:r>
        <w:rPr>
          <w:b/>
        </w:rPr>
        <w:t xml:space="preserve">Quelle: </w:t>
      </w:r>
      <w:r>
        <w:t>https://mcp.opencaselaw.ch/entscheid/zh_sozialversicherungsgericht_BV.2021.00062</w:t>
      </w:r>
    </w:p>
    <w:p>
      <w:r>
        <w:t>FR: ZH_SOZIALVERSICHERUNGSGERICHT BV.2021.00062 du 8 décembre 2022</w:t>
      </w:r>
    </w:p>
    <w:p>
      <w:r>
        <w:t>IT: ZH_SOZIALVERSICHERUNGSGERICHT BV.2021.00062 del 8 dicembre 2022</w:t>
      </w:r>
    </w:p>
    <w:p>
      <w:pPr>
        <w:pStyle w:val="Heading2"/>
      </w:pPr>
      <w:r>
        <w:t>Erwägungen</w:t>
      </w:r>
    </w:p>
    <w:p>
      <w:r>
        <w:rPr>
          <w:b/>
        </w:rPr>
        <w:t>E. 1.1</w:t>
      </w:r>
    </w:p>
    <w:p>
      <w:r>
        <w:t>Das angerufene Gericht ist örtlich ( Art. 73 Abs. 3 des Bundesgesetzes über die berufliche Alters-, Hinterl assenen- und Invalidenvorsorge [ BVG ]; vgl. auch Art. 8.4 des Vorsorgereglements der Beklagten, gültig ab 1. Januar 2013 [ Urk. 2/4 S. 38] ) und – gestützt auf § 2 Abs. 2 lit. a des Gesetzes über das Sozialvers iche rungsgericht (GSVGer) – sachlich für die Beurteilung der vorliegenden Klage zu ständig.</w:t>
      </w:r>
    </w:p>
    <w:p>
      <w:r>
        <w:t>Das berufsvorsorgerechtliche Verfahren nach Art. 73 BVG ist einfach, rasch und in der Regel kostenlos; das Gericht stellt den Sachverhalt von Amtes wegen fest (Art. 73 Abs. 2 BVG).</w:t>
      </w:r>
    </w:p>
    <w:p>
      <w:r>
        <w:rPr>
          <w:b/>
        </w:rPr>
        <w:t>E. 1.2</w:t>
      </w:r>
    </w:p>
    <w:p>
      <w:r>
        <w:t>Die Klägerin klagte die reglementarischen und die gesetzlichen Invalidenleistun gen von insgesamt jährlich Fr. 96'720.-- ein (Urk. 1 S. 2 ; vgl. auch Urk. 2/3 ) und definierte mit diesem R echtsbegehren den Streitgegenstand. O bwohl sie in ihrer Klage ausführte, der Anspruch auf eine Invalidenrente aus der obligatorischen beruflichen Vorsorge</w:t>
      </w:r>
    </w:p>
    <w:p>
      <w:r>
        <w:t>sei unbestritten (Urk. 1 S. 2), stellte sie diesen ebenfalls zur Disposition (vgl. BGE 129 V 450 E. 3.2 mit Hinweisen). Die Beklagte sprach der Klägerin mit Schreiben vom 23. September 2020 eine ganze Invalidenrente aus der obligatorischen beruflichen Vorsorge zu (Urk. 2/13) und gab in ihrer Kla geantwort vom 15. Februar 2022 zu verstehen, dass diese bisher stets ausgerichtet worden sei (Urk. 10 S. 23). Anhaltspunkte dafür, dass sich daran in der Zwischen zeit etwas geändert und die Beklagte ihre Leistungen eing estellt hätte, bestehen nicht. Solange die Beklagte die gesetzlichen Leistungen weiter hin ausrichtet, fehlt es somit an einem Rechtsschutzinteresse der Klägerin an der Einklagung dersel ben .</w:t>
      </w:r>
    </w:p>
    <w:p>
      <w:r>
        <w:t>Auf die Klage ist daher insoweit nicht einzutreten, als die Klägerin Invalidenleis tungen aus der obligatorischen beruflichen Vorsorge</w:t>
      </w:r>
    </w:p>
    <w:p>
      <w:r>
        <w:t>einklagte.</w:t>
      </w:r>
    </w:p>
    <w:p>
      <w:r>
        <w:rPr>
          <w:b/>
        </w:rPr>
        <w:t>E. 2</w:t>
      </w:r>
    </w:p>
    <w:p>
      <w:r>
        <w:t>Die Klägerin führte in ihrer Klage betreffend den geltend gemachten Anspruch auf überobligatorische Invalidenleistungen aus, sie habe bei Eintritt in die be klagte Vorsorgeeinrichtung eine Gesundheitserklärung mittels Formulareinträgen vom 22. April 2015 abgegeben (Urk. 1 S. 2 f.). Da sie nach Meinung der Beklagten Fragen «nachweislich falsch» beantwortet habe, habe die Beklagte den Vertrag in Bezug auf die überobligatorischen Leistungen gekündigt (Urk. 1 S. 5). Es liege jedoch – aus in der Klage näher dargelegten Gründen – keine Anzeigepflichtver letzung vor (Urk. 1 S. 6 ff.). Dementsprechend habe sie Anspruch auf die vollen reglementarischen Leistungen bei Invalidität (Urk. 1 S. 11). Dies bestritt die Be klagte. E ine Anzeigepflichtverletzung sei ausgewiesen, weshalb höchstens die Mi nimalleistungen gemäss BVG zur Aus richtung gelangen könnten (Urk. 10 S. 3). Die Klägerin habe das Vorliegen von «Krankheite n der Psyche» in den letzten zehn Jahren sowie die Frage nach einer Beratung, Untersuchung oder Behandlung wegen gesundheitlicher Prob leme/Störungen in den letzten fünf Jahren verneint, was gemäss den Akten jedoch nicht zutreffe (U rk. 10 S.</w:t>
      </w:r>
    </w:p>
    <w:p>
      <w:r>
        <w:rPr>
          <w:b/>
        </w:rPr>
        <w:t>E. 4</w:t>
      </w:r>
    </w:p>
    <w:p>
      <w:r>
        <w:t>1</w:t>
      </w:r>
    </w:p>
    <w:p>
      <w:r>
        <w:t>Obwohl die Klägerin am 22. April 2015 die im Fragebogen der Beklagten gestellte Frage 10c , ob in den letzten zehn Jahren</w:t>
      </w:r>
    </w:p>
    <w:p>
      <w:r>
        <w:t>allfällige Krankheiten der Psyche auf getreten seien</w:t>
      </w:r>
    </w:p>
    <w:p>
      <w:r>
        <w:t>(z.B. Angstzustände, Depressionen) ,</w:t>
      </w:r>
    </w:p>
    <w:p>
      <w:r>
        <w:t>verneinte, ist gemäss den IV-Akten aufgrund ihrer eigenen, wiederholten Angaben erstellt, dass sie im Jahr 2006 erstmals ein Burnout (vgl. E. 4.3.3 f. , E. 4.3.7 f. ) beziehungsweise eine Er schöpfungsdepression oder ein Erschöpfungssyndrom (vgl. E. 4.3.1 f., E. 4.3.5) beziehungsweise eine depressive Episode (vgl. E.</w:t>
      </w:r>
    </w:p>
    <w:p>
      <w:r>
        <w:rPr>
          <w:b/>
        </w:rPr>
        <w:t>E. 4.1</w:t>
      </w:r>
    </w:p>
    <w:p>
      <w:r>
        <w:t>Im Anmeldeformular zur beruflichen Vorsorge der Beklagten ( « Gesundheitserklä rung » ), welches die Klägerin am 22. April 2015 ausfüllte (Urk. 2/5), bejahte sie die Frage, ob sie in den letzten fünf Jahren jemals länger als vier Wochen ohne Unterbruch ganz oder teilweise arbeitsunfähig gewesen sei (Frage 8). Bei den Er klärungen zur Frage 8 gab sie an, sie sei circa im Jahr 2012 während circa zwei Monaten zu 50 % arbeitsunfähig gewesen wegen Überarbeitung. Die Frage nach Folgen verneinte sie. Als behandelnden Arzt gab sie den Hausarzt an. Die Frage, ob sie in den letzten fünf Jahren wegen gesundheitlicher Prob leme/Störungen beraten, untersucht oder behandelt worden sei (z.B. durch einen Arzt, Psychiater, Psychologen, Chiropraktiker oder andere), verneinte sie (Frage 9a). Die Frage, ob sie in den letzten 10 Jahren jemals Krankheiten des Gehirns, der Nerven (z.B. Epileps ie, Lähmung, Multiple Sklerose) oder der Psyche (z.B. Angst zustände, Depressionen) gehabt habe, verneinte sie (Frage 10c). Die Frage nach einem lang dauernden Husten (Frage 10a) bejahte sie und gab an, circa im Jahr 2012 durch eine verschleppte Lungenentzündung einen solchen erlitten zu haben. Dieser sei im März 2015 nochmals verstärkt worden durch eine Grippe; es werde aber besser. Als Dauer gab sie drei Jahre an und die Frage nach Folgen bejahte sie. Als behandelnden Arzt gab sie wiederum den Hausarzt an.</w:t>
      </w:r>
    </w:p>
    <w:p>
      <w:r>
        <w:rPr>
          <w:b/>
        </w:rPr>
        <w:t>E. 4.2</w:t>
      </w:r>
    </w:p>
    <w:p>
      <w:r>
        <w:t>Der hier zu überprüfende Z eitraum erstreckt sich über die Jahre 2005 bis 2015 (F rage 10c) beziehungsweise 2010 bis 2015 (Fragen 8 und 9a).</w:t>
      </w:r>
    </w:p>
    <w:p>
      <w:r>
        <w:rPr>
          <w:b/>
        </w:rPr>
        <w:t>E. 4.3</w:t>
      </w:r>
    </w:p>
    <w:p>
      <w:r>
        <w:t>.8</w:t>
      </w:r>
    </w:p>
    <w:p>
      <w:r>
        <w:t>Med. pract . D.___ führte in seinem Bericht vom 1. April 2020 aus, 2006 sei eine erste depressive Episode (Burnout) aufgrund einer belastenden Situation am Arbeitsplatz aufgetreten. Wiederkehrende Symptome seien im Jahr 2011 aufge treten, und sie sei für drei Monate vom Hausarzt zu 50 % krankgeschrieben wor den. 2013 bis 2014 habe sie sich wegen wiederkehrenden Erschöpfungssympto men ein ganzes Jahr eine Auszeit genommen. Im März 2015 habe sie die Arbeit in reduziertem Pensum wieder aufgenommen, sich aber für eine weniger an spruchsvolle und verantwortungsvolle Arbeit entschieden (Urk. 14/65/2 f.).</w:t>
      </w:r>
    </w:p>
    <w:p>
      <w:r>
        <w:rPr>
          <w:b/>
        </w:rPr>
        <w:t>E. 4.3.6</w:t>
      </w:r>
    </w:p>
    <w:p>
      <w:r>
        <w:t>) erlitten hatte. Leichte Ab weichungen in den Zeitangaben der Klägerin erweisen sich dabei als irrelevant : Aus dem Auszug aus dem individuellen Konto (IK) der Klägerin vom 10. Januar 2020 geht hervor, dass sie bei der B.___</w:t>
      </w:r>
    </w:p>
    <w:p>
      <w:r>
        <w:t>von August 2005 bis Mai 2006 angestellt war (Urk. 14/57/1), welche Tätigkeit sie als Ursache für das erste Burnout nannte und weswegen sie sich in einer psychiatrischen Behandlung befand (E. 4.3.3). Das Argument, es sei nicht erstellt, ob die Jahreszahl 2006 stimme (Urk. 1 S. 7), geht daher fehl. Auch vermag die Klägerin mit dem Vor bringen, es lägen keine echtzeitliche n Dokumente, sondern rein anamnestische Informationen vor (Urk. 1 S. 7), nicht durchzudringen, sind es doch ihre eigenen A ngaben, welche in den Arztberichten wiedergegeben wurden.</w:t>
      </w:r>
    </w:p>
    <w:p>
      <w:r>
        <w:rPr>
          <w:b/>
        </w:rPr>
        <w:t>E. 4.4</w:t>
      </w:r>
    </w:p>
    <w:p>
      <w:r>
        <w:t>.6</w:t>
      </w:r>
    </w:p>
    <w:p>
      <w:r>
        <w:t>Die Klägerin verneinte auch d ie Frage (9a), ob sie in den letzten fünf Jahren we gen gesundheitlicher Probleme/Störungen beraten, untersucht oder behandelt worden sei (z.B. durch einen Arzt, Psychiater, Psycholog en, Chiropraktiker oder andere), was sich ebenfalls als nicht zutreffend erweist , wurde sie vom Hausarzt im Jahr 201 1 doch offensichtlich wegen eines Burnouts behandelt; er attestierte ihr für circa zwei bis drei Monate eine 50%i ge Arbeitsunfähigkeit (vgl. E. 4.3.3 und E. 4.3.7 f.) .</w:t>
      </w:r>
    </w:p>
    <w:p>
      <w:r>
        <w:t>Ob eine Behandlung bei einer Kinesiologin ebenfalls anzeige pflichtig gewesen wäre, kann angesichts der bereits als falsch zu wertenden Ant wort auf die Frage 9a offenbleiben. Auch muss angesichts dessen nicht beant wortet werden, ob die mehrfache psychotherapeutische Behandlung (E. 4.3.7) in die relevante Fünfjahresfrist fiel.</w:t>
      </w:r>
    </w:p>
    <w:p>
      <w:r>
        <w:rPr>
          <w:b/>
        </w:rPr>
        <w:t>E. 4.4.2</w:t>
      </w:r>
    </w:p>
    <w:p>
      <w:r>
        <w:t>Im Jahr 2011 kam es ern eut zu einem Burnout, in dessen Rahmen d ie Klägerin</w:t>
      </w:r>
    </w:p>
    <w:p>
      <w:r>
        <w:t>von ihrem Hausarzt für circa zwei bis drei Monate als zu 50 % arbeitsunfähig beurteilt</w:t>
      </w:r>
    </w:p>
    <w:p>
      <w:r>
        <w:t>wurde (E. 4.3.3 und E. 4.3.7 f. ) .</w:t>
      </w:r>
    </w:p>
    <w:p>
      <w:r>
        <w:rPr>
          <w:b/>
        </w:rPr>
        <w:t>E. 4.4.7</w:t>
      </w:r>
    </w:p>
    <w:p>
      <w:r>
        <w:t>Die Frage, ob sie in den letzten fünf Jahren jemals länger als vier Wochen ohne Unterbruch ganz oder teilweise arbeitsunfähig gewesen sei (Frage 8) , bejahte die Klägerin zwar . Bei den Erklärungen zur Frag e 8 gab sie aber lediglich an, sie sei circa im Jahr 2012 wegen Überarbeitung</w:t>
      </w:r>
    </w:p>
    <w:p>
      <w:r>
        <w:t>w ährend circa zwei Monaten zu 50 % arbeitsunfä hig gewesen . Da sie die Frage nach psychischen Krankheiten in Z iff. 10 c</w:t>
      </w:r>
    </w:p>
    <w:p>
      <w:r>
        <w:t>allerdings verneinte , konnte die Beklagte daraus</w:t>
      </w:r>
    </w:p>
    <w:p>
      <w:r>
        <w:t>nicht ohne Weiteres auf eine Gefahrstatsache</w:t>
      </w:r>
    </w:p>
    <w:p>
      <w:r>
        <w:t>im Zusammenhang mit psychischen Beschwerden schli es sen, zumal im selben Jahr</w:t>
      </w:r>
    </w:p>
    <w:p>
      <w:r>
        <w:t>auch ein langandauernder Husten durch ein e ver schleppte Lungenentzündung</w:t>
      </w:r>
    </w:p>
    <w:p>
      <w:r>
        <w:t>aufgetreten war und als somatische Ursache</w:t>
      </w:r>
    </w:p>
    <w:p>
      <w:r>
        <w:t>für die nicht klar definierte « Überarbeitung » hätte interpretiert werden können. Damit zielen die Argumente der Klägerin, die erfolgte Deklaration habe keine Folgen für den Vorsorgevertrag mit der Beklagten gehabt, diese habe keinen Gesundheits vorbehalt angebracht und damit praktisch gezeigt, dass diese Überlastungssitua tion mit Arbeitsunfähigkeitsfolge keinen Einfluss auf ihren Entschluss gehabt habe, den Vertrag überhaupt oder zu den vereinbarten Bedingungen abzuschlies sen (Urk. 1 S. 8), ins Leere.</w:t>
      </w:r>
    </w:p>
    <w:p>
      <w:r>
        <w:rPr>
          <w:b/>
        </w:rPr>
        <w:t>E. 4.5</w:t>
      </w:r>
    </w:p>
    <w:p>
      <w:r>
        <w:t>Indem die Klägerin die Frage n 9a und 10c im Fragebogen der Beklagten ver neinte, verletzte sie somit die Anzeigepflicht (E. 3.4).</w:t>
      </w:r>
    </w:p>
    <w:p>
      <w:r>
        <w:rPr>
          <w:b/>
        </w:rPr>
        <w:t>E. 4.6</w:t>
      </w:r>
    </w:p>
    <w:p>
      <w:r>
        <w:t>Nach Erhalt des Vorbescheids der IV-Stelle ersuchte die Beklagte dieselbe um Zustellung der Akten (Urk. 14/83). Diese wurden ihr mit Schreiben vom 19. Au gust 2020 zugestellt (Urk. 14/86). Noch innerhalb der zweimonatigen Frist nach Kenntnisnahme der Anzeigepflichtverletzung gemäss Ziff. 2.5.2 lit. f des Vorsor gereglements (Urk. 2/4) wurde der Klägerin mit Schreiben vom 14. September 2020 mit geteilt , aufgrund der Akten der IV-Stelle liege eine Anzeigepflichtver letzung vor, weshalb der Vertrag betreffend die überobligatorischen L eistungen gekündigt werde (Urk. 2/12). Demzufolge ist die Beklagte nicht zu Leistungen aus dem überobligatorischen Vorsorgeverhältnis verpflichtet.</w:t>
      </w:r>
    </w:p>
    <w:p>
      <w:r>
        <w:rPr>
          <w:b/>
        </w:rPr>
        <w:t>E. 5</w:t>
      </w:r>
    </w:p>
    <w:p>
      <w:r>
        <w:t>Die Klage ist somit abzuweisen, soweit auf sie einzutreten ist.</w:t>
      </w:r>
    </w:p>
    <w:p>
      <w:r>
        <w:rPr>
          <w:b/>
        </w:rPr>
        <w:t>E. 6</w:t>
      </w:r>
    </w:p>
    <w:p>
      <w:r>
        <w:t>.</w:t>
      </w:r>
    </w:p>
    <w:p>
      <w:r>
        <w:t>Art. 73 Abs. 2 BVG schliesst einen Anspruch der obsiegenden Versicherungsträ gerin auf eine Prozessentschädigung zwar nicht aus. Indes werden den Trägern der beruflichen Vorsorge gemäss BVG bzw. den mit öffentlichrechtlichen Aufga ben betrauten Organisationen in Anlehnung an die Rechtsprechung zu Art. 159 Abs. 2 des bis Ende 2006 in Kraft gestandenen Bundesgesetzes über die Organi sation der Bundesrechtspflege (Bundesrechtspflegegesetz/OG) praxisgemäss keine Parteientschädigungen zugesprochen. Es besteht kein Grund , vorliegend anders zu verfahren (vgl. BGE 128 V 133 E. 5b, 126 V 150 E. 4a, 118 V 169 E. 7 und 117 V 349 E. 8, mit Hinweisen; vgl. auch BGE 122 V 125 E. 5b und 320 E. 1a und b sowie 112 V 356 E. 6), zumal die Beklagte ihren Antrag auch nicht be gründete (vgl. Urk.</w:t>
      </w:r>
    </w:p>
    <w:p>
      <w:r>
        <w:rPr>
          <w:b/>
        </w:rPr>
        <w:t>E. 10</w:t>
      </w:r>
    </w:p>
    <w:p>
      <w:r>
        <w:t>S. 2 ). Das Gericht erkennt: 1.</w:t>
      </w:r>
    </w:p>
    <w:p>
      <w:r>
        <w:t>Die Klage wird abgewiesen , soweit auf sie eingetreten wird . 2.</w:t>
      </w:r>
    </w:p>
    <w:p>
      <w:r>
        <w:t>Das Verfahren ist kostenlos. 3.</w:t>
      </w:r>
    </w:p>
    <w:p>
      <w:r>
        <w:t>Der Beklagten wird keine Prozessentschädigung zugesprochen. 4.</w:t>
      </w:r>
    </w:p>
    <w:p>
      <w:r>
        <w:t>Zustellung gegen Empfangsschein an: - Rechtsanwalt Soluna</w:t>
      </w:r>
    </w:p>
    <w:p>
      <w:r>
        <w:t>Girón - Rechtsanwalt Andreas Gnädinger - Bundesamt für Sozialversicherungen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