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BV.2021.00042 vom 3. Dezember 2022</w:t>
      </w:r>
    </w:p>
    <w:p>
      <w:r>
        <w:t>ZH Sozialversicherungsgericht, 2022-12-03, DE</w:t>
      </w:r>
    </w:p>
    <w:p>
      <w:r>
        <w:rPr>
          <w:b/>
        </w:rPr>
        <w:t xml:space="preserve">Quelle: </w:t>
      </w:r>
      <w:r>
        <w:t>https://mcp.opencaselaw.ch/entscheid/zh_sozialversicherungsgericht_BV.2021.00042</w:t>
      </w:r>
    </w:p>
    <w:p>
      <w:r>
        <w:t>FR: ZH_SOZIALVERSICHERUNGSGERICHT BV.2021.00042 du 3 décembre 2022</w:t>
      </w:r>
    </w:p>
    <w:p>
      <w:r>
        <w:t>IT: ZH_SOZIALVERSICHERUNGSGERICHT BV.2021.00042 del 3 dicembre 2022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Der im Jahre 1963 geborene X.___ war ab 1. November 1990 bei der Y.___ angestellt und als solcher bei der Progressa , Sammelstiftung BVG, vorsorgeversichert ( Genfer Lebensversicherungs-Gesellschaft AG, Urk.</w:t>
      </w:r>
    </w:p>
    <w:p>
      <w:r>
        <w:rPr>
          <w:b/>
        </w:rPr>
        <w:t>E. 1.2</w:t>
      </w:r>
    </w:p>
    <w:p>
      <w:r>
        <w:t>Im Rahmen einer im Jahr 2011 in die Wege geleiteten Rentenrevision wurde der medizinische Sachverhalt umfassend abgeklärt ( b idisziplinäres Gutachten vom 2</w:t>
      </w:r>
    </w:p>
    <w:p>
      <w:r>
        <w:rPr>
          <w:b/>
        </w:rPr>
        <w:t>E. 5</w:t>
      </w:r>
    </w:p>
    <w:p>
      <w:r>
        <w:t>S. 2). Mit Verfügung vom 1. Oktober 2008 sprach die Suva dem Versicherten mit Wirkung ab 1. September 2002 eine Invalidenrente der Unfallversicherung bei einer Erwerbsunfähigkeit von 36 % zu ( Urk. 2/24). Mit Schreiben vom 4. Mai 2009 erfolgte eine Leistungsabrechnung der Sammelstiftung Vita unter Berücksichtigung der bereits von der Genfer Ver sicherung erbrachten Leistungen ( Urk. 6/3) 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