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BV.2021.00025 vom 8. Mai 2022</w:t>
      </w:r>
    </w:p>
    <w:p>
      <w:r>
        <w:t>ZH Sozialversicherungsgericht, 2022-05-08, DE</w:t>
      </w:r>
    </w:p>
    <w:p>
      <w:r>
        <w:rPr>
          <w:b/>
        </w:rPr>
        <w:t xml:space="preserve">Quelle: </w:t>
      </w:r>
      <w:r>
        <w:t>https://mcp.opencaselaw.ch/entscheid/zh_sozialversicherungsgericht_BV.2021.00025</w:t>
      </w:r>
    </w:p>
    <w:p>
      <w:r>
        <w:t>FR: ZH_SOZIALVERSICHERUNGSGERICHT BV.2021.00025 du 8 mai 2022</w:t>
      </w:r>
    </w:p>
    <w:p>
      <w:r>
        <w:t>IT: ZH_SOZIALVERSICHERUNGSGERICHT BV.2021.00025 del 8 maggio 2022</w:t>
      </w:r>
    </w:p>
    <w:p>
      <w:pPr>
        <w:pStyle w:val="Heading2"/>
      </w:pPr>
      <w:r>
        <w:t>Erwägungen</w:t>
      </w:r>
    </w:p>
    <w:p>
      <w:r>
        <w:rPr>
          <w:b/>
        </w:rPr>
        <w:t>E. 1.1</w:t>
      </w:r>
    </w:p>
    <w:p>
      <w:r>
        <w:t>Nach Art.</w:t>
      </w:r>
    </w:p>
    <w:p>
      <w:r>
        <w:rPr>
          <w:b/>
        </w:rPr>
        <w:t>E. 1.2</w:t>
      </w:r>
    </w:p>
    <w:p>
      <w:r>
        <w:t>Nach Art. 24 Abs. 1 BVG hat der Versicherte Anspruch auf eine volle Invaliden 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Bestimmungen des Bundesgesetzes über die Invalidenversicherung ( Art. 29 des Bundesgesetz es</w:t>
      </w:r>
    </w:p>
    <w:p>
      <w:r>
        <w:t>über die Invalidenversicherung, IVG ).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 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 1. 3</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 tene Arbeitsunfähigkeit geschuldete Invalidenleistung bleibt die Vorsorgeein richtung somit leistungspflichtig, selbst wenn sich nach Beendigung des Vorsor geverhältnisses der Invaliditätsgrad ändert. Entsprechend bildet denn auch der Wegfall der Versicherteneigenschaft kein Erlöschungsgrund ( Art. 26 Abs. 3 BVG e contrario ; BGE 123 V 262 E. 1a, 118 V 35 E. 5). 1. 4</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 1. 5</w:t>
      </w:r>
    </w:p>
    <w:p>
      <w:r>
        <w:t>Das Erfordernis des sachlichen und zeitlichen Konnexes als Kriterium für die Leis 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(beziehungsweise sich der Invaliditätsgrad erhöht), ohne zuvor nochmals in eine neue Vorsorgeein richtung eingetreten zu sein. Der sachliche Konnex ist dann gegeben, wenn der Gesundheitsschaden, der zur Arbeitsunfähigkeit ge führt hat, auch Ursache für den Eintritt der Invalidität oder der Erhöhung des Invaliditätsgrades ist. Dieses Erfor dernis geht aus Art. 23 BVG hervor. Der zeit liche Konnex ist zu bejahen, wenn die Arbeitsunfähigkeit des Versicherten nicht durch eine Wiedererlangung der Arbeitsfähigkeit unterbrochen wird (Urteil des Eidgenössischen Versiche rungs ge richts B 64/99 vom 6. Juni 2001, E. 5a).</w:t>
      </w:r>
    </w:p>
    <w:p>
      <w:r>
        <w:t>1. 6</w:t>
      </w:r>
    </w:p>
    <w:p>
      <w:r>
        <w:t>Die Vorsorgeeinrichtungen sind im Bereich der gesetzlichen Mindestvorsorge ( Art. 6 BVG) an die Feststellungen der Organe der Invalidenversicherung gebun den, soweit die invalidenversicherungsrechtliche Betrachtungsweise aufgrund einer gesamthaften Prüfung der Akten nicht als offensichtlich unhaltbar erscheint. Die Bindungswirkung entfällt, wenn die Vorsorgeeinrichtung nicht (spätestens) ins Vorbescheidverfahren ( Art. 73ter IVV) einbezogen und ihr die Rentenverfügung formgültig eröffnet wurde (Urteil des Bundesgerichts 9C_81/2010 vom 1 6. Juni 2010 E. 3.1, mit Hinweisen). 2. 2.1</w:t>
      </w:r>
    </w:p>
    <w:p>
      <w:r>
        <w:t>Der Kläger beantragte in seiner Klage ( Urk. 1), die Beklagte sei zu verpflichten, ihm ab April 2014 Leistungen aus dem Vertrag Nr. A.___ gemäss Verfügung der Invalidenversicherung vom 2. November 2017 zu erbringen.</w:t>
      </w:r>
    </w:p>
    <w:p>
      <w:r>
        <w:t>Im Rahmen der Replik ( Urk. 12) machte der Kläger insbesondere geltend, dass die volle Invalidität am 1 6. Januar 2012 eingetreten und der nach dem fraglichen E reignis erfolgt e Austritt mit Transfer der Leistungen an die R endita ungültig sei (S. 2 oben) . Es handle sich um einen Transfer mit Zweckentfremdung, welcher ungültig sei, so dass die Freizügigkeitsleistung an die Beklagte zurück transferiert werden müsse (S. 5 oben). I m Zeitpunkt des Vorsorgeverhältnisses bei der Beklagten mit Vertrag A.___</w:t>
      </w:r>
    </w:p>
    <w:p>
      <w:r>
        <w:t>sei eine volle Invalidität durc h das Hüftleiden aufgetreten . Der Zusammenhang zum ersten Vorsorgevertrag mit der Beklagten sei gegeben, es handle sich um dieselbe Hüfte. Das Hüftleiden habe sich mit dem Autofahren im zweiten BVG-Verhältnis mit der Beklagten verschlechtert (S. 9). Er habe eine sehr gute Anstellung im Aussendienst gehabt. Beim täglichen Auto fahren seien die Schmerzen indessen immer stärker geworden, bis er zu 100 % arbeitsunfähig geworden sei (S. 3 Mitte). Der Kläger hielt zudem fest, dass d ie Leistungen der Profond auf der Burnout Erkrankung (ab August 2008) beruhten und mit der Verfügung der Invalidenversicherung vom 2. November 2017 und mit der neuen Leistungspflicht per April 2014 nichts zu tun hätten (S. 2 Mitte).</w:t>
      </w:r>
    </w:p>
    <w:p>
      <w:r>
        <w:t>Mit zusätzlicher Stellungnahme vom 2 9. September 2021 ( Urk. 17) hielt der Klä ger fest, dass die Freizügigkeitsleistung der Profond an die Beklagte für die zukünftige Rente gedacht gewesen sei. So schreibe die Profond im Brief vom 2 6. August 2016, dass er von der Beklagten ebenfalls noch eine Altersrente erhalten sollte (S. 2 oben). Die Verschlechterung habe während de s Arbeits verhältni sse s mit der Z.___ AG stattgefunden (S. 3 Mitte) . 2.2</w:t>
      </w:r>
    </w:p>
    <w:p>
      <w:r>
        <w:t>Demgegenüber hielt die Beklagte in der Klageantwort ( Urk. 6 ) fest, dass der Kläger per 3 0. September 2012 aus dem Vorsorgeverhältnis im Anschlussvertrag B.___ der Z.___ AG ausgetreten sei . Mangels eines neuen Arbeitsverhältnisses sei seine Freizügigkeitsleistung an die Rendita Vorsorge einrichtung überwiesen worden . Deshalb könne aus d em Vorsorgeverhältnis</w:t>
      </w:r>
    </w:p>
    <w:p>
      <w:r>
        <w:t>B.___ keine Altersleistung geltend gemacht werden (S. 4 unten). Vielmehr habe der Kläger gegenüber der Rendita einen Anspruch auf Auszahlung des Guthabens (S. 6 oben). 2.3</w:t>
      </w:r>
    </w:p>
    <w:p>
      <w:r>
        <w:t>Strittig und zu prüfen ist demnach , ob der Kläger gegenüber der Beklagten Anspruch auf Leistungen der beruflichen Vorsorge aus dem Anschlussvertrag B.___ hat. 3. 3.1</w:t>
      </w:r>
    </w:p>
    <w:p>
      <w:r>
        <w:t>In Bezug auf den Sachverhalt ergibt sich z usammenfassend , dass im</w:t>
      </w:r>
    </w:p>
    <w:p>
      <w:r>
        <w:t>Zeitraum 2000 bis 201 2 über die beid en Arbeitgeber</w:t>
      </w:r>
    </w:p>
    <w:p>
      <w:r>
        <w:t>Y.___ AG und Z.___ AG drei verschiedene</w:t>
      </w:r>
    </w:p>
    <w:p>
      <w:r>
        <w:t>Vorsorge verhältnisse bestanden , zwei davon mit der Beklagten, jedoch aus verschiedenen Anschlussverträgen .</w:t>
      </w:r>
    </w:p>
    <w:p>
      <w:r>
        <w:t>Die Y.___ AG war bis Ende 2007 der Beklagten mit Vertrag C.___ angeschlossen. Ab Januar 2008 war die Y.___ AG bei der Profond Vorsorgeeinrichtung</w:t>
      </w:r>
    </w:p>
    <w:p>
      <w:r>
        <w:t>berufsvorsorgeversichert. Per Ende Februar 2009 endete das Arbeitsverhältnis des Klägers mit d er Y.___ AG und a b April 2011 (bis Ende März 2012 ) arbeitete der Kläg er für die Z.___ AG.</w:t>
      </w:r>
    </w:p>
    <w:p>
      <w:r>
        <w:t>Letztere war mit Vertrag B.___</w:t>
      </w:r>
    </w:p>
    <w:p>
      <w:r>
        <w:t>bei der Beklagten versichert .</w:t>
      </w:r>
    </w:p>
    <w:p>
      <w:r>
        <w:t>Betreffend gesundheitliche Beeinträchtigungen sind beim Kläger insbesondere ein Hüftleiden sowie psychische Probleme bekannt. 3.2</w:t>
      </w:r>
    </w:p>
    <w:p>
      <w:r>
        <w:t>Ab April 2000 richtete die Beklagte dem Kläger aus Vertrag C.___</w:t>
      </w:r>
    </w:p>
    <w:p>
      <w:r>
        <w:t>eine 50%ige Invalidenrente</w:t>
      </w:r>
    </w:p>
    <w:p>
      <w:r>
        <w:t>aufgrund eines Hüftleidens ( Coxarthrose ) aus .</w:t>
      </w:r>
    </w:p>
    <w:p>
      <w:r>
        <w:t>Ab Mai 2008 führte ein Burnout respektive eine Erschöpfungsdepression zu einer Arbeitsunfähigkeit des Klägers . D ie Profond Vorsorgeeinrichtung</w:t>
      </w:r>
    </w:p>
    <w:p>
      <w:r>
        <w:t>richtete dem Kläger auf der Basis seiner Anstellung von 50 % von August 2008 bis April 2010 eine</w:t>
      </w:r>
    </w:p>
    <w:p>
      <w:r>
        <w:t>ganze Invalidenrente</w:t>
      </w:r>
    </w:p>
    <w:p>
      <w:r>
        <w:t>sowie ab 1. Mai 20 1 0 eine halbe Rente aus .</w:t>
      </w:r>
    </w:p>
    <w:p>
      <w:r>
        <w:t>Nach einer Verschlechterung des Hüftleidens erhöhte die Beklagte die Invalidi tätsleistungen aus Vertrag C.___ per April 2014 auf 75 %. 3.3</w:t>
      </w:r>
    </w:p>
    <w:p>
      <w:r>
        <w:t>Nach dem Gesagten ergibt sich, dass dem Kläger ab April 2014 Invaliditäts leistungen aus beruflicher Vorsorge von insgesamt 100 % ausgerichtet wurde n (75 % seitens der Beklagten aus Vertrag C.___ aufgrund des Hüftleidens sowie 25 % [ 50 % von 50 % ] seitens der Profond</w:t>
      </w:r>
    </w:p>
    <w:p>
      <w:r>
        <w:t>aufgrund von psychischen Beschwer den ).</w:t>
      </w:r>
    </w:p>
    <w:p>
      <w:r>
        <w:t>Aus dem Vertrag B.___ richtet die Beklagte dem Kläger keine Leistungen aus. 3.4</w:t>
      </w:r>
    </w:p>
    <w:p>
      <w:r>
        <w:t>Der Sachverhalt erschein t aufgrund der vorliegenden Akten klar. Der seitens der Beklagten beantragte Beizug der Akten der Invalidenversicherung wie auch der Profond Vorsorgeeinrichtung (vgl. Urk. 6 S. 6) is t somit nicht erforderlich. 4. 4.1</w:t>
      </w:r>
    </w:p>
    <w:p>
      <w:r>
        <w:t>Der Kläger machte in der Replik geltend, dass im Zeitpunkt des Vorsorgeverhält nisses bei der Beklagten mit Vertrag A.___ eine volle Invalidität durch das Hüftleiden aufgetreten sei . Der Zusammenhang zum ersten Vorsorgevertrag mit der Beklagten sei gegeben, es handle sich um dieselbe Hüfte. Das Hüftleiden habe sich mit dem Autofahren im zweiten BVG-Verhältnis mit der Beklagten verschlechtert ( vgl. vorstehend E. 2.1). 4.2</w:t>
      </w:r>
    </w:p>
    <w:p>
      <w:r>
        <w:t>Dazu ist festzuhalten, dass</w:t>
      </w:r>
    </w:p>
    <w:p>
      <w:r>
        <w:t>die Vorsorgeeinrichtung</w:t>
      </w:r>
    </w:p>
    <w:p>
      <w:r>
        <w:t>für eine einmal aus während der Versicherungsdauer aufgetretene Arbeitsunfähigkei t geschuldete Invaliden leistung leistungspflichtig</w:t>
      </w:r>
    </w:p>
    <w:p>
      <w:r>
        <w:t>bleibt , selbst wenn sich nach Beendigung des Vorsor geverhältnisses der Invaliditätsgrad ändert (vgl. vorstehend E. 1.3).</w:t>
      </w:r>
    </w:p>
    <w:p>
      <w:r>
        <w:t>Während des ersten Vorsorgeverhältnisses mit der Beklagten ( Vertrag C.___ ) trat beim Kläger ein Hüftleiden ( Coxarthrose ) auf. In der Folge richtete die Beklagte dem Kläger aus diesem Vorsorgeverhältnis ab April 2000 eine 50%ige Invalidenrente aus.</w:t>
      </w:r>
    </w:p>
    <w:p>
      <w:r>
        <w:t>Beim Burnout , welches ab Mai 2008 zu einer Arbeitsunfähigkeit des Klägers führte, handelte es sich um eine neue Krankheitsursache. Die psychischen Beein trächtigungen traten im Zeitpunkt der Versicherung bei der Profond</w:t>
      </w:r>
    </w:p>
    <w:p>
      <w:r>
        <w:t>Vorsorge einrichtung auf. Da der sachliche Zusammenhang zum ersten Invaliditätsfall fehlte, war die Profond für daraus folgende Invaliditätsleistungen zuständig.</w:t>
      </w:r>
    </w:p>
    <w:p>
      <w:r>
        <w:t>Ab 2011 verschlechterte sich das Hüftleiden des Klägers. Sowohl d er sachliche als auch der zeitliche Konnex</w:t>
      </w:r>
    </w:p>
    <w:p>
      <w:r>
        <w:t>zum ersten Invaliditätsfall sind gegeben.</w:t>
      </w:r>
    </w:p>
    <w:p>
      <w:r>
        <w:t>D er Gesundheitsschaden , der zur Arbeitsunfähigkeit und anschliessend zur Invalidität ge führt hat te (Hüftleiden) , ist auch Ursache für die Erh öhung des Invaliditäts grades .</w:t>
      </w:r>
    </w:p>
    <w:p>
      <w:r>
        <w:t>Zudem wurde die Arbeitsunfähigkeit des Klägers nicht durch eine Wiedererlangung der Ar beitsfähigkeit unterbrochen (vgl. vorstehend E. 1. 4 und E. 1.5 ). Wie der Kläger selbst geltend machte, handelt e es sich um eine Verschlechterung desselben Hüftleidens . Somit blieb die Beklagte für das Hüft leiden nach wie vor aus dem ersten Anschlussvertrag C.___ zuständig , obwohl die Verschlechterung erst nach Beendigung d ies es Vorsorgeverhältnisses eintrat .</w:t>
      </w:r>
    </w:p>
    <w:p>
      <w:r>
        <w:t>Der Kläger hielt wiederholt fest, dass die gesundheitliche Verschlechterung am 1 6. Januar 2012 eingetreten sei (vgl.</w:t>
      </w:r>
    </w:p>
    <w:p>
      <w:r>
        <w:t>Urk.</w:t>
      </w:r>
    </w:p>
    <w:p>
      <w:r>
        <w:rPr>
          <w:b/>
        </w:rPr>
        <w:t>E. 1.3</w:t>
      </w:r>
    </w:p>
    <w:p>
      <w:r>
        <w:t>Ab April 2011 arbeitete der Versicherte in einem Pensum von 50 % für die Z.___ AG, welche mit Vertrag B.___ bei der AXA Stiftung Berufliche Vorsorge versichert war (vgl. Beilage 3 zu Urk. 2/2) . Per Ende März 2012 wurde das Arbeitsverhältnis aufgelöst (vgl. Austrittsmeldung, Urk. 7/7). Die AXA Stif tung Berufliche Vorsorge nahm den Austritt des Versicherten per 2 0. September 2012 vor und überwies die Austrittsleistung aus diesem Vorsorgeverhältnis an die Rendita Freizügigkeitsstiftung (vgl. Austrittsabrechnung, Urk. 7/8).</w:t>
      </w:r>
    </w:p>
    <w:p>
      <w:r>
        <w:t>Aufgrund einer Verschlechterung des Hüftleidens erhöhte d ie Invalidenversiche rung die bisherige Dreiviertelsrente per April 2014 auf eine ganze Rente (Verfü gung vom 2. November 2017, Urk. 7/4). Entsprechend erhöhte die AXA Stiftung Berufliche Vorsorge ihre Invalidenrente aus Vertrag C.___</w:t>
      </w:r>
    </w:p>
    <w:p>
      <w:r>
        <w:t>per April 2014 eben falls ( auf 75 %; vgl. Leistungsabrechnung vom 2 6. April 2018, Urk. 7/5).</w:t>
      </w:r>
    </w:p>
    <w:p>
      <w:r>
        <w:t>Im September 2016 erreichte der Versicherte das ordentliche Renten alter.</w:t>
      </w:r>
    </w:p>
    <w:p>
      <w:r>
        <w:t>2.</w:t>
      </w:r>
    </w:p>
    <w:p>
      <w:r>
        <w:t>Mit Eingabe vom 1 3. April 2021 (Urk. 1) erhob der Versicherte Klage gegen die AXA Stiftung Berufliche Vorsorge und beantragte, diese sei zu verpflichten gemäss Verfügung der Invalidenversicherung vom 2. November 2017 Leistungen ab April 2014 aus dem Vertrag Nr. A.___ zu erbringen.</w:t>
      </w:r>
    </w:p>
    <w:p>
      <w:r>
        <w:t>Die AXA Stiftung Berufliche Vorsorge schloss in ihrer Klageantwort vom 1 7. Juni 2021 ( Urk.</w:t>
      </w:r>
    </w:p>
    <w:p>
      <w:r>
        <w:rPr>
          <w:b/>
        </w:rPr>
        <w:t>E. 6</w:t>
      </w:r>
    </w:p>
    <w:p>
      <w:r>
        <w:t>) auf Abweisung der Klage.</w:t>
      </w:r>
    </w:p>
    <w:p>
      <w:r>
        <w:t>Mit Replik vom 2 6. Juli 2021 ( Urk. 12) hielt der Kläger an seinem Antrag fest. Auch die Beklagte hielt mit Duplik vom 1 0. September 2021 ( Urk. 15) an ihrem Antrag fest. M it Eingabe vom 2 9. September 2021 nahm der Kläger erneut Stel lung ( Urk. 17) .</w:t>
      </w:r>
    </w:p>
    <w:p>
      <w:r>
        <w:t>. Das Gericht zieht in Erwägung: 1.</w:t>
      </w:r>
    </w:p>
    <w:p>
      <w:r>
        <w:rPr>
          <w:b/>
        </w:rPr>
        <w:t>E. 10</w:t>
      </w:r>
    </w:p>
    <w:p>
      <w:r>
        <w:t>des Bundesgesetz es über die berufliche Alters-, Hinterlassenen- und Invalidenvorsorge (BVG) beginnt die obligatorische Versicherung mit dem Antritt des Arbeitsverhältnisses, für Bezüger von Taggeldern der Arbeitslosenversiche rung mit dem Tag, für den erstmals eine Arbeitslosenentschädigung ausgerichtet wird ( Abs. 1). Die Versicherungspflicht endet, wenn das ordentliche Rentenalter erreicht, das Arbeitsverhältnis aufgelöst oder der Mindestlohn unterschritten wird oder der Anspruch auf Taggelder der Arbeitslosenversicherung wegen des Ablaufs der Rahmenfrist endet: vorbehalten bleibt Art. 8 Abs. 3 BVG ( Abs. 2). Für die Risiken Tod und Invalidität bleibt der Arbeitnehmer während eines Monats nach Auflösung des Vorsorgeverhältnisses bei der bisherigen Vorsorgeeinrichtung ver sichert; wird vorher ein neues Vorsorgeverhältnis begründet, so ist die neue Vorsorgeeinrichtung zuständig ( Abs. 3).</w:t>
      </w:r>
    </w:p>
    <w:p>
      <w:r>
        <w:rPr>
          <w:b/>
        </w:rPr>
        <w:t>E. 12</w:t>
      </w:r>
    </w:p>
    <w:p>
      <w:r>
        <w:t>S. 2 oben,</w:t>
      </w:r>
    </w:p>
    <w:p>
      <w:r>
        <w:t>Urk.</w:t>
      </w:r>
    </w:p>
    <w:p>
      <w:r>
        <w:rPr>
          <w:b/>
        </w:rPr>
        <w:t>E. 17</w:t>
      </w:r>
    </w:p>
    <w:p>
      <w:r>
        <w:t>-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