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BV.2021.00016 vom 8. November 2021</w:t>
      </w:r>
    </w:p>
    <w:p>
      <w:r>
        <w:t>ZH Sozialversicherungsgericht, 2021-11-08, DE</w:t>
      </w:r>
    </w:p>
    <w:p>
      <w:r>
        <w:rPr>
          <w:b/>
        </w:rPr>
        <w:t xml:space="preserve">Quelle: </w:t>
      </w:r>
      <w:r>
        <w:t>https://mcp.opencaselaw.ch/entscheid/zh_sozialversicherungsgericht_BV.2021.00016</w:t>
      </w:r>
    </w:p>
    <w:p>
      <w:r>
        <w:t>FR: ZH_SOZIALVERSICHERUNGSGERICHT BV.2021.00016 du 8 novembre 2021</w:t>
      </w:r>
    </w:p>
    <w:p>
      <w:r>
        <w:t>IT: ZH_SOZIALVERSICHERUNGSGERICHT BV.2021.00016 del 8 novembre 2021</w:t>
      </w:r>
    </w:p>
    <w:p>
      <w:pPr>
        <w:pStyle w:val="Heading2"/>
      </w:pPr>
      <w:r>
        <w:t>Erwägungen</w:t>
      </w:r>
    </w:p>
    <w:p>
      <w:r>
        <w:rPr>
          <w:b/>
        </w:rPr>
        <w:t>E. 1</w:t>
      </w:r>
    </w:p>
    <w:p>
      <w:r>
        <w:t>X.___ , geboren 1960, war se it 2005 war bei der Stadt Y.___ , Schul- und Sportdepartement, auf Abruf als Hortmitarbeiterin tätig. Jahrelang erreichte sie mit ihren Einkommen die Eintrittsschwelle für eine Aufnahme in die Pensionskasse nicht (vgl. Urk. 9/12 , vgl. auch Urk.</w:t>
      </w:r>
    </w:p>
    <w:p>
      <w:r>
        <w:rPr>
          <w:b/>
        </w:rPr>
        <w:t>E. 1.1.1</w:t>
      </w:r>
    </w:p>
    <w:p>
      <w:r>
        <w:t>Nach Art.</w:t>
      </w:r>
    </w:p>
    <w:p>
      <w:r>
        <w:rPr>
          <w:b/>
        </w:rPr>
        <w:t>E. 1.1.2</w:t>
      </w:r>
    </w:p>
    <w:p>
      <w:r>
        <w:t>Art. 2 Abs. 1 des Vorsorgereglements der Beklagten ( VSR; in der seit 1. Januar 2005 geltenden Fassung) bestimmt zur Mitgliedschaft bei ihr, dass grundsätzlich die Versicherungspflicht gemäss BVG gilt. Zusätzlich aufgenommen werden Per sonen, die alle Bedingungen des BVG ausser dem Mindestlohn erfüllen, sofern sie einen Beschäftigungsgrad von wenigstens 30 % einer Vollbeschäftigung aufwei sen und der auf 100 % umgerechnete Lohn den Koordinationsbetrag gemäss Art. 14 übertrifft. Dieser beträgt 7/8 der maximalen AHV-Altersren te ( Art. 14 Abs. 1 VSR in der ab 1. Januar 2016 gültigen Fassung ).</w:t>
      </w:r>
    </w:p>
    <w:p>
      <w:r>
        <w:t>Art. 2 Abs. 2 VSR sieht vor, dass die Versicherung unter anderem endet, wenn der Beschäftigungsgrad dauernd unter 20 % absinkt, sofern der Mindestlohn gemäss BVG ebenfalls un terschritten ist.</w:t>
      </w:r>
    </w:p>
    <w:p>
      <w:r>
        <w:rPr>
          <w:b/>
        </w:rPr>
        <w:t>E. 1.2.1</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 ten Arbeitsunfähigkeit, unabhängig davon, in welchem Zeitpunkt und in wel chem Masse daraus ein Anspruch auf Invalidenleistungen entsteht. Die Versi 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aufgetrete 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 Art. 26 Abs. 3 BVG e contrario ; BGE 123 V 262 E. 1a, 118 V 35 E. 5).</w:t>
      </w:r>
    </w:p>
    <w:p>
      <w:r>
        <w:rPr>
          <w:b/>
        </w:rPr>
        <w:t>E. 1.2.2</w:t>
      </w:r>
    </w:p>
    <w:p>
      <w:r>
        <w:t>Von einer relevanten Arbeitsunfähigkeit ist r echtsprechungsgemäss dann auszu gehen, wenn diese mindestens 20 % betr ägt und sich auf das Arbeitsver 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 ers oder durch gehäufte, gesund heitlich bedingte Arbeitsausfä lle. Eine erst nach Jahren rück wirkend festgelegte medizinisch-theoretische Arbeitsunfähigkeit genügt nicht. Vielmehr muss der Zeitpunkt des Eintritts der berufsvorsorgerechtlich relevanten Arbeitsunfähigkeit mit dem im Sozialversicherungsrecht üblichen Beweisgrad der überwiegenden Wahrscheinlichkeit echtzeitlich nachgewiesen sein. Dieser Nachweis darf nicht durch nachträgliche Annahmen und spekulative Überlegungen ersetzt werden (vgl. hierzu etwa Urteile des Bundesgerichts 9C_91/2013 vom 1 7. Juni 2013 E.</w:t>
      </w:r>
    </w:p>
    <w:p>
      <w:r>
        <w:t>4.1.2, 8C_380/2009 vom 1 7. September 2009 E . 2.1, je mit Hinweisen) .</w:t>
      </w:r>
    </w:p>
    <w:p>
      <w:r>
        <w:rPr>
          <w:b/>
        </w:rPr>
        <w:t>E. 1.2.3</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w:t>
      </w:r>
    </w:p>
    <w:p>
      <w:r>
        <w:rPr>
          <w:b/>
        </w:rPr>
        <w:t>E. 1.3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w:t>
      </w:r>
    </w:p>
    <w:p>
      <w:r>
        <w:t>132 V 1 E. 3.2). So hat beispielsweise eine verspätete Anmeldung zum Leis tungs bezug bei der Invalidenversicherung rechtsprechungsgemäss die freie Über prüf barkeit des leistungserheblichen Sachverhaltes durch die Vorsorgeeinrich tung beziehungsweise das Berufsvorsorgegericht zur Folge (Urteil des Bundesge 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Invaliditätsbe messung der Invalidenversicherung offensichtlich unhaltbar war (BGE 130 V 270 E. 3.1).</w:t>
      </w:r>
    </w:p>
    <w:p>
      <w:r>
        <w:rPr>
          <w:b/>
        </w:rPr>
        <w:t>E. 1.4</w:t>
      </w:r>
    </w:p>
    <w:p>
      <w:r>
        <w:t>Lau t Art. 39 VSR der Beklagten haben Versicherte Anspruch auf eine Invaliden pension, die im Sinne der nachfolgenden Bestimmungen invalid sind und bei Eintritt der Arbeitsunfähigkeit, die zur Invalidität geführt hat, bei der Pensions kasse versichert waren oder denen gemäss BVG ein Leistungsanspruch zusteht, weil sie ein Geburtsgebrechen aufweisen oder als Minderjährige invalid wurden ( Abs. 1). Ein Leistungsanspruch besteht nur bei einem Invaliditätsgrad von min destens 20 % eines Vollpensums. Die Mindestgrenze gilt nicht, wenn bei bereits bestehendem Pensionsanspruch infolge Erhöhung der Arbeitsfähigkeit der Inva liditätsgrad unter 20 % sinkt ( Abs. 2). Der Grad der Arbeitsunfähigkeit bzw. Invalidität ermittelt sich immer in Bezug auf ein Vollpensum ( Abs. 3).</w:t>
      </w:r>
    </w:p>
    <w:p>
      <w:r>
        <w:t>Das Vorsorg ereglement unterscheidet zwischen einem Pensionsanspruch bei Erwerbsinvalidität ( Art. 40) und einem Pensionsanspruch bei Berufsinvalidität ( Art. 40a). Zum Pensionsanspruch bei Erwerbsinvalidität hält das Vorsorgeregle ment fest, dass sich die Voraussetzungen für das Vorliegen einer Arbeitsunfähig keit, einer Erwerbsunfähigkeit und einer Invalidität sowie die Berechnung des Invaliditätsgrads nach den Regeln der IV richten ( Art. 40). Einen Pensionsan spruch bei Berufsinvalidität haben Versicherte, die bei Pensionsbeginn das 5 5. Altersjahr vollendet haben und eine Karenzfrist von mindestens vier Beitrags jahren bei der Pensionskasse aufweisen ( Art. 40a Abs. 2). 2. 2.1</w:t>
      </w:r>
    </w:p>
    <w:p>
      <w:r>
        <w:t>Die Klägerin brachte zur Klagebegründung vor, sie sei von Oktober 2005 bis Ende Juli 2018 bei der Stadt Y.___ angestellt gewesen. Sie sei zwar schon vor 20 1 6 krank gewesen, aber im Januar 2016 habe sich ihre Krankheit erheblich ver schlechtert. Sie habe daher Anspruch auf eine Invalidenrente aus der beruflichen Vorsorge ( Urk. 1). 2.2</w:t>
      </w:r>
    </w:p>
    <w:p>
      <w:r>
        <w:t>Die Beklagte führte in der Klageantwort aus, e in Anspruch auf Berufsinvaliden leistungen nach</w:t>
      </w:r>
    </w:p>
    <w:p>
      <w:r>
        <w:t>Art. 40a VSR falle ausser Betracht , d a die Klägerin die Mindest beitragszei t von vier Jahren nicht erfülle. In Fra ge stehe vorliegend einzig eine Invalidenrente bei Erwerbsunfähigkeit im Sinne vo n Art. 40 VSR . Mit Verfügung vom 1 3. August 2020 habe die zuständige IV-Stelle den Beginn der Wartezeit auf den 8. Januar 2019 festgesetzt und der Klägerin ab 1. Januar 2020 eine IV-Rente zugesprochen. Damit habe sie den Eintritt einer inval i ditätsrelevanten Arbeitsun fähigkeit vor Januar 2019 verneint. Dieser Entscheid sei verbindlich, da er nicht als offensichtlich unrichtig qualifiziert werden könne. Die Beklagte sei daher nicht leistungspflichtig, weil die zur Invalidität führende Arbeitsunfähigkeit der Klägerin nicht während der Dauer des Vorsorgeverhältnisses eingetreten sei. Doch selbst bei fehlender Bindungswirkung des IV-Entscheids sei der Eintritt der inva lidisierenden Arbeitsunfähigkeit während des Vorsorgeverhältnisses nicht mit dem erforderlichen Beweisgrad der überwiegenden Wahrscheinlichkeit erstellt ( Urk. 4). 3. 3.1</w:t>
      </w:r>
    </w:p>
    <w:p>
      <w:r>
        <w:t>Streitig ist der Anspruch der Klägerin auf Invalidenleistungen der Beklagten. 3.2</w:t>
      </w:r>
    </w:p>
    <w:p>
      <w:r>
        <w:t>Zwischen den Parteien ist unbestritten und aufgrund der Akten soweit ausgewie sen , dass ein Vorsorgeverhältnis erst ab</w:t>
      </w:r>
    </w:p>
    <w:p>
      <w:r>
        <w:rPr>
          <w:b/>
        </w:rPr>
        <w:t>E. 4</w:t>
      </w:r>
    </w:p>
    <w:p>
      <w:r>
        <w:t>S. 2 ). A b 1. August 2015 gelangte sie zu mehr Einsätzen und war ab diesem Zeitpunkt bei der Pensions kasse Stadt Y.___ berufsvorsorgeversichert ( Urk. 5/ 4, Urk. 5/ 6).</w:t>
      </w:r>
    </w:p>
    <w:p>
      <w:r>
        <w:t>Seit dem 1. Dezember 2016 leistete sie keine Einsätze als Hor tmitarbeiterin mehr</w:t>
      </w:r>
    </w:p>
    <w:p>
      <w:r>
        <w:t>( Urk. 5/14 , Urk. 5/15 ). Das Arbeitsverhältnis von X.___ mit der Stadt Y.___</w:t>
      </w:r>
    </w:p>
    <w:p>
      <w:r>
        <w:t>wurde per 3 1. Juli 2018 formell aufgelöst ( Urk. 5/21).</w:t>
      </w:r>
    </w:p>
    <w:p>
      <w:r>
        <w:t>Nachdem sich X.___ am 1 2. April 2018 bei der Invalidenversi cherung zum Leistungsbezug angemeldet hatte ( Urk. 9/7), wurde ihr von der Sozialversicherungsanstalt des Kantons Zürich, IV-Stelle, mit V erfügung vom 1 3. August 2020 eine ganze Rente ab 1. Jan uar 2020 zugesprochen ( Urk. 5/31 = Urk. 9/72 und 80). Die Pensionskasse Stadt Y.___ ihrerseits verneinte in der Folge ein en Anspruch von X.___ auf eine Rente aus der beruf lichen Vorsorge ( Urk. 5/32, Urk. 5/40). 2.</w:t>
      </w:r>
    </w:p>
    <w:p>
      <w:r>
        <w:t>Mit Eingabe vom 2 5. Januar 2021 erhob X.___ Klage gegen die Pensionskasse Stadt Y.___ und beantragte sinngemäss die Ausrichtung einer Rente aus der beruflichen Vorsorge ( Urk. 1). Die Pensionskasse Stadt Y.___ schloss in der Klageantwort vom 1 3. April 2021 auf Abweisung der Klage ( Urk. 4). Mit Verfügung vom 1 9. Mai 2021 wurden die Akten der Invalidenversicherung in Sachen der Klägerin beigezogen ( Urk. 9/1-91). Mit Verfügung vom 9. Juni 2021 wurde der Klägerin Frist angesetzt, um zu den beigezogenen Akten Stellung zu nehmen ( Urk. 11). Mit Eingabe vom 2 0. September 2021 liess sich die Klägerin , nunmehr vertreten durch Rechtsanwältin Dina Raewel , in der Sache vernehmen. G leichzeitig liess sie ein Gesuch um unentgeltliche Rechtspflege stellen ( Urk. 20). Mit Verfügung vom 2 3. September 2021 wurde der Beklagten Gel egenheit zur Stellungnahme zu den beigezogenen Akten sowie zur Eingabe der Klägerin vom 2 0. September 2021 eingeräumt ( Urk. 23). Die Beklagte verzichtete auf eine Stel lungnahme ( Urk. 25), was der Klägerin zur Kenntnis gebracht wurde ( Urk. 2</w:t>
      </w:r>
    </w:p>
    <w:p>
      <w:r>
        <w:rPr>
          <w:b/>
        </w:rPr>
        <w:t>E. 7</w:t>
      </w:r>
    </w:p>
    <w:p>
      <w:r>
        <w:t>des Bundesgesetzes über die berufliche Alters-, Hinterlassenen- und (BVG) in Verbindung mit Art. 5 der Verordnung über die berufliche Alters-, Hin terlassenen- und Invalidenvorsorge (BVV 2, in der in den Jahren 2015 bis 2018 gültigen Fassung) unterstehen Arbeitnehmer, die bei einem Arbeitgeber einen Jahreslohn von mehr als Fr. 21'150.-- beziehen, ab 1. Januar nach Vollendung des 1 7. Altersjahres für die Risiken Tod und Invalidität, ab 1. Januar nach Voll endung des 2 4. Altersjahres auch für das Alter der obligatorischen Versicherung ( Abs. 1). Dieser Lohn entspricht dem massgebenden Lohn nach dem Bundesgesetz über die Alters- und Hinterlassenen versicherung (AHVG). Der Bundes r at kann Abweichungen zulassen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