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BV.2020.00055 vom 7. Dezember 2022</w:t>
      </w:r>
    </w:p>
    <w:p>
      <w:r>
        <w:t>ZH Sozialversicherungsgericht, 2022-12-07, DE</w:t>
      </w:r>
    </w:p>
    <w:p>
      <w:r>
        <w:rPr>
          <w:b/>
        </w:rPr>
        <w:t xml:space="preserve">Quelle: </w:t>
      </w:r>
      <w:r>
        <w:t>https://mcp.opencaselaw.ch/entscheid/zh_sozialversicherungsgericht_BV.2020.00055</w:t>
      </w:r>
    </w:p>
    <w:p>
      <w:r>
        <w:t>FR: ZH_SOZIALVERSICHERUNGSGERICHT BV.2020.00055 du 7 décembre 2022</w:t>
      </w:r>
    </w:p>
    <w:p>
      <w:r>
        <w:t>IT: ZH_SOZIALVERSICHERUNGSGERICHT BV.2020.00055 del 7 dicembre 2022</w:t>
      </w:r>
    </w:p>
    <w:p>
      <w:pPr>
        <w:pStyle w:val="Heading2"/>
      </w:pPr>
      <w:r>
        <w:t>Erwägungen</w:t>
      </w:r>
    </w:p>
    <w:p>
      <w:r>
        <w:rPr>
          <w:b/>
        </w:rPr>
        <w:t>E. 1.1</w:t>
      </w:r>
    </w:p>
    <w:p>
      <w:r>
        <w:t>X.___ , geboren 1972, war vom 1. Januar 2008 bis zum 30. Juni 2009 in einem 80%-Pensum bei Z.___ als Informatiker tätig und in dieser Eigenschaft bei der Sammelstiftung berufliche Vorsorge Swiss Life berufsvor sorgeversi chert (vgl. Urk. 2/1 und Urk. 14/11 ).</w:t>
      </w:r>
    </w:p>
    <w:p>
      <w:r>
        <w:t>Am 14. Oktober 2009 meldete sich der Versicherte bei der Eidgenössischen Invalidenversicherung, A.___ , aufgrund eines Burnouts zum Leistungs bezug an (Urk. 14/5). Die IV-Stelle tätigte erwerbliche und m edi zinische Abklärungen und holte das psychiatrische Gutachten von Dr. med. B.___ , Facharzt für Psychiatrie und Psychotherapie, vom 14. September 2011 ein (Urk. 14/57.1). Die IV-Stelle sprach dem Versicherten ein Aufbautraining vom 1. Februar bis zum 22. Juli 2012 zu ( Urk. 14/76 und Urk. 14/83) und übernahm im Anschluss die Kosten für ein Arbeitstraining vom 23. Juli bis zum 28. Oktober 2012 (Urk. 14/89; Urk. 14/100; vgl. auch Urk. 14/93) sowie ein Praktikum mit Coaching vom 29. Oktober 2012 bis zum 30. April 2013 (Urk. 14/102, Urk. 14/108 und Urk. 14/111).</w:t>
      </w:r>
    </w:p>
    <w:p>
      <w:r>
        <w:rPr>
          <w:b/>
        </w:rPr>
        <w:t>E. 1.2</w:t>
      </w:r>
    </w:p>
    <w:p>
      <w:r>
        <w:t>Am 1. Mai 2013 konnte der Versicherte eine Stelle im C.___ antreten in einem Pensum von 80 % (Urk. 14/112/4 f .) und war in dieser Eigenschaft bei der Pensionskasse Y.___</w:t>
      </w:r>
    </w:p>
    <w:p>
      <w:r>
        <w:t>b erufsvorsorgeversichert (Urk. 5 ). Von Mai bis Juli 2013 leistete d ie Invalidenversicherung Einarbeitungszuschüsse (Urk. 14/117) und übernahm die Kosten für ein externes Job Coaching (Urk. 14/119). Am 12. November 2013 erteilte sie Kostengutsprache für eine begleitende Beratung zur Erhaltung des Arbeitsplatzes vom 1. Oktober bis zum 22. Dezember 2013 (Urk. 14/129) sowie für Integrationsmassnahmen (Urk. 14/130) .</w:t>
      </w:r>
    </w:p>
    <w:p>
      <w:r>
        <w:t>M it Verfügung vom 27. November 2013 sprach die IV-S telle dem Versicherten eine von April 2010 bis zum 31. Januar 2012 befristete ganze Rente zu , da er ab dem 1. Februar 2012 bis zum 30. April 2013 IV-Taggelder bezogen und ab dem 1. Mai 2013 weniger als 40 % invalid gewesen sei (Urk. 14/ 136; vgl. V orbescheid vom 4. September 2013, Urk. 10/127 ) . Die Sammelstiftung berufliche Vorsorge Swiss Life erbrachte nach Aussteuerung der Krankentaggelder vom 28. Dezember 2009 bis zum 6. Februar 2011 Renten gemäss BVG und vom 7. Februar 2011 bis zum 31. Januar 2012 Renten gemäss Plan jeweils einem IV-Grad von 100 % entsprechend (Urk. 2/3).</w:t>
      </w:r>
    </w:p>
    <w:p>
      <w:r>
        <w:t>Mit Schreiben vom 21. Januar 2014 teilte die IV-Stelle mit, dass sie die Kosten für ein Coaching vom 6. Januar bis zum 31. März 2014 übernehmen werde (Urk. 14/138) .</w:t>
      </w:r>
    </w:p>
    <w:p>
      <w:r>
        <w:t>Dieses wurde per Ende Februar 2014 vorzeitig abgebrochen (Urk. 14/143). Das Arbeitsverhältnis beim C.___ wurde per 30. Juni 2014 aufgelöst (vgl. Vorbescheid vom 13. Juni 2014, Urk. 14/146). Mit Verfügung vom 28. April 2015 schloss die IV-Stelle die Arbeitsvermittlung ab (Urk. 14/157).</w:t>
      </w:r>
    </w:p>
    <w:p>
      <w:r>
        <w:rPr>
          <w:b/>
        </w:rPr>
        <w:t>E. 1.3</w:t>
      </w:r>
    </w:p>
    <w:p>
      <w:r>
        <w:t>Am 23. Mai 2016 meldete sich der Versicherte erneut bei der IV-Stelle zum Leistungsbezug an (Urk. 14/158). Die IV-Stelle tätigte erneut m edi zinisc he und erwerbliche Abklärungen und holte das Gutachten von Dr. med. D.___ , Facharzt für Psychiatrie und Psychotherapie, vom 24. Februar 2017 ein (Urk. 14/186). Mit Verfügung vom 6. Oktober 2017 sprach die IV-Stelle dem Versicher ten ab dem 1. November 2016 eine ganze Rente zu (Urk. 14/200 ).</w:t>
      </w:r>
    </w:p>
    <w:p>
      <w:r>
        <w:rPr>
          <w:b/>
        </w:rPr>
        <w:t>E. 1.4</w:t>
      </w:r>
    </w:p>
    <w:p>
      <w:r>
        <w:t>Im Rahmen der von Amtes wegen eingeleiteten IV-Revision im Jahr 2019 (vgl. Urk. 14/220) bestätigte die IV-Stelle die Rente (Urk. 14/231) und sprach dem Versicherten ab dem 1. Juli 2018 eine Hilflosenentschädigung leichten Grades zu ( Urk. 14/233 und Urk. 14/234).</w:t>
      </w:r>
    </w:p>
    <w:p>
      <w:r>
        <w:rPr>
          <w:b/>
        </w:rPr>
        <w:t>E. 2</w:t>
      </w:r>
    </w:p>
    <w:p>
      <w:r>
        <w:t>Mit Eingabe vom 15. September 2020 reichte der Versicherte am hiesigen Gericht Klage ein und beantragte, es sei die Sammelstiftung berufliche Vorsorge Swiss Life (Beklagte 1) zu verpflichten, ihm mit Wirkung ab 1. November 2016 volle gesetzliche und reglementarische Berufsvorsorgeleistungen bei Invalidität, insbesondere eine ganze Invalidenrente in Höhe von Fr. 31'824.-- jährlich auszurich ten, nebst Zins zu 5 % auf den ausstehenden Leistungen ab jeweiligem Fällig keitstag, frühestens ab Klageerhebung. Eventualiter sei die Pensionskasse Y.___ (Beklagte 2) zu verpflichten, ihm mit Wirkung ab 1. November 2016 volle gesetzliche und reglementarische Berufsvor sorgeleistungen bei Invalidität, insbesondere eine ganze Invalidenrente in Höhe von mindestens Fr. 38'761.-- jährlich auszurichten, nebst Zins zu 5 % auf den ausstehenden Leistun gen ab jeweiligem Fälligkeitstag, frühestens ab Klage erhebung (Urk. 1). Die Beklagten 1 und 2 schlossen jeweils auf Abweisung der gegen sie gerichteten Klage (Urk. 5 und Urk. 9, unter Beilage der Akten der Beklagten 1, Urk. 10/1-5). Nach Beizug der IV-Akten (Urk. 14/1-235) hielt der Kläger mit Replik vom 12. Mai 2021 an seinen Anträgen fest (Urk. 19). Die Beklagten 1 und 2 hielten duplicando an der Abweisung der jeweils gegen sie gerichteten Klage fest (Urk. 23, Urk. 28), worüber die anderen Parteien in Kenntnis gesetzt wurden (Urk. 25 und Urk. 29).</w:t>
      </w:r>
    </w:p>
    <w:p>
      <w:r>
        <w:rPr>
          <w:b/>
        </w:rPr>
        <w:t>E. 2.1</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(Art. 29 IVG). Die Invalidenleis 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 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 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dessen prognostische ärztliche Beurteilung und die Beweggründe, die die versicherte Person zur Wiederaufnahme der Arbeit veranlasst haben (BGE 123 V 262 E. lc , 120 V 112 E. 2c/ aa und 2c/ bb mit Hinweisen).</w:t>
      </w:r>
    </w:p>
    <w:p>
      <w:r>
        <w:t>Der enge zeitliche Zusammenhang ist so lange nicht unterbrochen, als dass min destens eine 20%ige Arbeitsunfähigkeit in einer angepassten Tätigkeit besteht (BGE 144 V 58 E. 4.4). Eine nachhaltige, den zeitlichen Konnex unterbre chende Erho lung liegt hingegen grundsätzlich vor, wenn während mehr als drei Monaten eine Arbeitsfähigkeit von über 80 % in einer angepassten Erwerbstätig keit gegeben ist (BGE 144 V 58 E. 4.4) und - kumulativ bezogen auf die ange stammte Tätigkeit - ein rentenausschliessendes Einkommen erzielt werden kann (Urteil des Bundes gerichts 9C_623/2017 vom 26. März 2018 E. 3; BGE 134 V 20 E. 5.3). Eine solch drei Monate oder länger andauernde (annähernd) vollstän dige Arbeits fähigkeit ist ein gewichtiges Indiz für eine Unterbrechung des zeitli chen Zusammenhangs, sofern sich eine dauerhafte Wiedererlangung der Erwerbs fähig 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 such zu werten ist oder massgeblich auf sozialen Erwägungen des Arbeitgebers beruhte (BGE 134 V 20 E. 3.2.1; Urteil des Bundesgerichts 9C_340/2016 vom 21. November 2016 E. 4.1.2; Urteil des Bundesgerichts 9C_465/2018 vom 30. Januar 2019 E. 3.2 mit weiteren Hinweisen).</w:t>
      </w:r>
    </w:p>
    <w:p>
      <w:r>
        <w:t>Eine Unterbrechung des für die Bejahung des Vorsorgeanspruches erforderlichen engen zeitlichen Zusammenhanges ist gemäss bundesgerichtlicher Rechtspre chung nicht nur anzunehmen, wenn die versicherte Person während einer bestimmten Zeit wieder in ihrer angestammten, dem Versicherungsverhältnis zu Grunde lie genden Tätigkeit arbeitsfähig ist, sondern auch dann, wenn sie in der Lage ist, eine Ausbildung zu absolvieren, die sie in gleichem Masse wie die Ausübung einer zeitlich uneingeschränkten, den Leiden angepassten Arbeits tätigkeit bean sprucht (Urteil des Bundesgerichts B 18/06 vom 18. Oktober 2006 E. 4.2.1 mit Hinweisen).</w:t>
      </w:r>
    </w:p>
    <w:p>
      <w:r>
        <w:rPr>
          <w:b/>
        </w:rPr>
        <w:t>E. 2.3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 aArt . 73 bis IVV; seit 1. Juli 2006: Art. 73 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w:t>
      </w:r>
    </w:p>
    <w:p>
      <w:r>
        <w:rPr>
          <w:b/>
        </w:rPr>
        <w:t>E. 3</w:t>
      </w:r>
    </w:p>
    <w:p>
      <w:r>
        <w:t>Dr. B.___ diag n ostizierte in seinem Gutachten vom 14. September 2011 einen unvollständigen Rekompensationszustand mit/bei (Urk. 14/57.1/21 f.): - Verdacht auf aktuell noch ängstlich-emotionslabilen, stressanfälligen, minderbelastbaren Zustand mit agora-soziophobischer und somatoformer Tendenz bei - laut Drittakten Status nach reaktiver Erschöpfungsentwicklung (differentialdiagnostisch Burnout ICD-10 Z73.0) s eit Konkurs seiner Informatik-Firma 2001 mit (bis mittelgrad ig depressiver) Dekompen sation Juni 2009, aktuell remittiert (ICD-10 F33.4 ) - laut Drittakten Status nach maniformem Zustand Ende 2009, respek tive nicht näher beschriebener bipolarer affektiver</w:t>
      </w:r>
    </w:p>
    <w:p>
      <w:r>
        <w:t>Störung ( ICD-10 F31.9) Juni bis September 2010, aktuell remittiert (ICD- 10 F31.7, differentialdiagnostisch Zyklothymie ICD-10 F34.0 nicht ausschliess bar) - bei unter psychosozialen Belastungen dekompensierter kombinierter Persönlichkeitsstörung (ICD-10 F61.0 ) mit narzis stischen, para noiden, emotional instab ilen, leicht schi zoiden, histrionischen, anankastischen und ambivalent autonom/abhängigen Zügen.</w:t>
      </w:r>
    </w:p>
    <w:p>
      <w:r>
        <w:t>Der Hintergrund dieser Diagnose sei in der Kindheit/Adoleszenz zu suchen. Depressive Zeichen bestünden laut Akten seit Juli 2008. Als Diagnosen ohne Auswirkungen auf die Arbeitsfähigkeit sei ein Verdacht auf Anteil IV-fremder Entwicklung von Symptomen aus psychischen Gründen (ICD-10 F68.0, Renten tendenz) festzuhalten.</w:t>
      </w:r>
    </w:p>
    <w:p>
      <w:r>
        <w:t>Obwohl aufgrund der subjektiven Angaben und dem Antwortverhalten im MMPI bezüglich mit depressivem Aktualzustand vereinbarer Beschwerden-Symptoma tik eine Symptom- Prononcierungstendenz</w:t>
      </w:r>
    </w:p>
    <w:p>
      <w:r>
        <w:t>( ICD-10 F68.0 ) aus psychogenen, sekundären Motiven vermutet werden mü ss e , sei angesichts deutlich erhöhter klinischer Skalen für Paranoia, Psychopathie und Psychast henie bei dennoch niedrigen Kon trollskalen von einem Hintergrund un ter psy c hosozialen Belastun gen dekompen sierter kom binierter Persönlichkeitsstörung mit narzisstischen, paranoiden, emo tiona l instabilen, leicht schizoiden, histrionischen , anankas tische n und ambivalent autonom/abhängigen Zügen auszugehen, die zur Zeit hinsichtlich ihrer sekundären Symptom-Manifestationen, trotz objektiv remittier ter depressiver Störung, immer noch nicht ganz rekompensiert und zur Zeit wegen einem äng stlich-emotionslabilen , stressanfälli g en ,</w:t>
      </w:r>
    </w:p>
    <w:p>
      <w:r>
        <w:t>minderbelastbaren Zustand mit agora-soziop hobischer und somatoformer Reaktionstendenz mindes tens für die angestammte, mental anspruchsvolle, geistige Kreativität und hohe Sozialkompetenz erfordernde Tätigkeit noch relevant für die Arbeitsfähigkeit sei . Es liege aktuell weder eine depressive noch eine hypomanische Aktualstö rung vor. Prinzipiell sei differentialdiagnostisch eine anhaltende affektive Störung im Sinne einer Zyklothymie nicht ausschliessbar; für eine bipolare affektive Störung lä gen zu</w:t>
      </w:r>
    </w:p>
    <w:p>
      <w:r>
        <w:t>wenig Anhalte vor.</w:t>
      </w:r>
    </w:p>
    <w:p>
      <w:r>
        <w:t>Die Blutspiegelbestimmung der wichtigen verordneten M edi kamente habe unter der Nachweisg renze liegende We rte für Clomipramin ( Anafranil ), sowie weit respektiv deutlich unter dem therap eutischen Bereich liegende Werte für Levopromazin ( Nozinan ), Trimipramin</w:t>
      </w:r>
    </w:p>
    <w:p>
      <w:r>
        <w:t>( Surmontil ) und Lithium ( Lithio for ) ergeben ; einzig der Spiege l von Mirtazepin ( Remeron ) liege im therapeutischen Bereich, sodass eine Malcomplian ce zu vermuten und an sich mindestens</w:t>
      </w:r>
    </w:p>
    <w:p>
      <w:r>
        <w:t>Quilonorm , Anafranil , Surmontil und Lithiofor ebenso gut weggelassen werden könnten, da höchstens Nebenwirkungen zu erwarten seien. Bekanntlich beklage sich der Kläger über starke Antriebslosigkeit und erektile Störungen, was aktuell sicher nicht als depressionsb edin gt einzuordnen sei , sonde rn allenfalls als M edi kamentenwirkung zu vermuten sei . Auch die Gewichtszunahme könnte, ausser dem dafür bekannten Remeron , teils auch auf die anderen Prä parate zurückgehen. Dasselbe gel t e für die erhöhten Leberenzy me, nachdem der Kläger sehr mä ssig Alkohol trinke. Das subjektive Angabeverhalten bezüglich de pres siver Symptomatiken (Anhedo nie), sowie Schlafstörung/Erholsamkeit des Schlaf s sei klinisch und im MMPI inkohärent resp. widersprüchlich.</w:t>
      </w:r>
    </w:p>
    <w:p>
      <w:r>
        <w:t>Die geklagten kognitiven Störungen (Denkblockaden) s eien klinisch und beim Test ni cht objektivierbar; hingegen sei ein irritierbarer, ängstlich-emotions- und etwas affektlabiler, stressanfälliger, schreckhafter, minderbelastbarer Zustand mit agora-soziophobischer und somatofor mer Reaktionstendenz glaubhaft. Prognos tisch sei weiterhin von einem günstigen, nämlich degress iven Störungsverlauf auszugehen. Entsprechend liege ke in Endzustand vor, und somit sei die Frage einer allfälligen Invalidität noch nicht beantwortbar. Für auf seinem Hof a nfallende manuelle Tätigkeiten ( er habe in der letzten Zeit sehr viel gearbeitet) ebenso für entsprechende ange passte, eher allein auszuübende, an geistige Krea tivität und Sozialkompetenz kei ne besonderen Ansprüche stellende Erwerbs tätigkeiten k önne der Kläger zur Zeit als voll arbeitsfäh ig bezeichnet werden. Für mental anspruchsvolle, kreative und sozial-exponierte Tätigkeiten im EDV-Bera tungs- und Support-Bereich liege aktuell noch eine Minderung der Arbeits fähigkeit um maximal 50</w:t>
      </w:r>
    </w:p>
    <w:p>
      <w:r>
        <w:t>% vor, mit pr ognostischer (maximal mittelfri stiger) Erholung unter fortgeführter und optim ierter Psycho- und Psychopharma ko therapie bis zu einer vollen Arbeitsfähigkeit.</w:t>
      </w:r>
    </w:p>
    <w:p>
      <w:r>
        <w:rPr>
          <w:b/>
        </w:rPr>
        <w:t>E. 3.2</w:t>
      </w:r>
    </w:p>
    <w:p>
      <w:r>
        <w:t>Aus m edi zinischer Sicht lag der Verfügung vom 6. Oktober 2017 insbesondere das G utachten von Dr. D.___ vom 24. Februar 2017 zugrunde. D r. D.___</w:t>
      </w:r>
    </w:p>
    <w:p>
      <w:r>
        <w:t>hielt folgende Diagnosen mit Auswirkungen auf die Arbeitsfähigkeit fest (Urk. 14/186.1/26): - Kombinierte Persönlichkeitsstörung mit selb s t unsicheren, zwanghaften, paranoiden, emotional-instabilen und narzisstischen Persönlichkeits zügen (ICD-10 F 61.0) - Agorap hobie (ICD-10 F 40.0) - Dysthymia (ICD-10 F 34.1) - Bipolare Episode, remittiert ( ICD-10 F31.7), Zustand nach depres siver Episode 2008, manischer Episode 2009 - Posttraumatische Belastungsstörung (ICD-10 F 43.1)</w:t>
      </w:r>
    </w:p>
    <w:p>
      <w:r>
        <w:t>Dr. D.___ konstatierte, dass vom Schweregrad her, insbesondere auch für die Entwicklung der komorbiden fortbestehenden psychiatrischen Erkrankungen sowie die Lebensentwicklung insbesondere der vergangenen Jahre die kombi nierte Persönlichkeitsstörung als massgeblich zu nennen sei. Dies beinhalte auch ausdrücklich die erheblich limitierten Fähigkeiten des Klägers zu einer beruf lichen Integration ebenso wie auch die letztlich begrenzten therapeutischen Möglichkeiten (Urk. 14/186.1/30).</w:t>
      </w:r>
    </w:p>
    <w:p>
      <w:r>
        <w:t>Aufgrund der Störungen bestehe eine Minderung der Arbeitsfähigkeit aus psychiatrischen Gründen in der angestammten Tätigkeit in einer Höhe von gesamthaft anhaltend mindestens 70-80%. Die Störungen gingen m it einer quantitativ und qualitativ stark reduzierten Arbeitsleistung durch eine mangelnde Flexibilität, Ausdauer und emotionale Belastbarkeit, insbesondere bei Arbeit in mit Sozialkontakten bzw. in einem Team einher . Durch die auch insbesondere durch die Agoraphobie erhöhte emotionale Reagibilität auf äussere und soziale Reiz e und „Drucksituationen" bestehe eine mangelnde Fähigkeit zur Organisa tion, symptomatisch v.a. bzgl. Zeiteinteilung, Priorisierung, Erfüllen von Aufträgen und Einhalten von Vorgaben. Damit einhergehend dann auch Probleme mit der Konzentration und der Fokussierung der Aufmerksamkeit; des W eiteren eine erhöhte Reizbarkeit, v.a. in sozialen Situationen mit auditiven Reizen wie hohem Publikumsverkehr und Lärm.</w:t>
      </w:r>
    </w:p>
    <w:p>
      <w:r>
        <w:t>Eine Tätigkeit in einem Arbeitsumfeld ohne für ihn als störend erlebte soziale Interaktion, etwa im Sinne einer Heimarbeit, könnte der Kläger möglicherweise in einem b edi ngten zeitlich en Umfang ausführen. Hierbei sei zugleich zu beden ken, dass er seit mehreren Jahren nicht mehr in seiner angestammten Tätigkeit angestellt gewesen sei und diesbezüglich vermutlich eine Entwöhnung vom Arbeitsr h ythmus und auch ein gewis ses Informationsdefizit bestünden. Es bestehe hingegen eine Teilleistungsfähigkeit zum Führen eines eigenen Haushaltes mit auch Einkäufen und auch Aktivitäten im Sinne von Interessen und Hobbies, bei zugleich kaum sozialen Kontakten ausserhalb der Familie. Hier sch ie nen auch keine schweren Einschränkungen bzgl. der Leistungsfähigkeit - etwa mit immer wieder notwendigem Einlegen von Pausen und Inaktivitäten - zu bestehen. Der Umfang und die daraus zu bezifferende Leistungsfähigkeit für diesen Funktions bereich sei von gutachterlicher Seite her schwer zu beurteilen, wobei ein Mindestgrad von 50 % diesbezügli ch angenommen werden kö nn e (Urk. 14/186.1/33 f.) .</w:t>
      </w:r>
    </w:p>
    <w:p>
      <w:r>
        <w:rPr>
          <w:b/>
        </w:rPr>
        <w:t>E. 4</w:t>
      </w:r>
    </w:p>
    <w:p>
      <w:r>
        <w:t>Vorab zu prüfen ist, ob die Beklagte n</w:t>
      </w:r>
    </w:p>
    <w:p>
      <w:r>
        <w:t>1 und 2 an die Feststellungen im IV-Verfahren, bzw. der Verfügung vom 6. Oktober 2017, gebunden sind (vgl. E. 2.3) .</w:t>
      </w:r>
    </w:p>
    <w:p>
      <w:r>
        <w:t>Der Beklagten 2 wurde sowohl der Vorbescheid vom 22. August 2017 (Urk. 14/191 ) als auch die Verfügung vom</w:t>
      </w:r>
    </w:p>
    <w:p>
      <w:r>
        <w:rPr>
          <w:b/>
        </w:rPr>
        <w:t>E. 6</w:t>
      </w:r>
    </w:p>
    <w:p>
      <w:r>
        <w:t>Zu prüfen bleibt, ob der Kläger Anspruch auf eine reglementarische Invaliden rente oder eine Mindestrente gemäss BVG hat.</w:t>
      </w:r>
    </w:p>
    <w:p>
      <w:r>
        <w:rPr>
          <w:b/>
        </w:rPr>
        <w:t>E. 6.1</w:t>
      </w:r>
    </w:p>
    <w:p>
      <w:r>
        <w:t>Gemäss Art. 26 Abs. 2 des Vorsorgereglements der Beklagten 1 (folgend: VSR, Urk. 10/5) hat eine versicherte Person, die im Zeitpunkt der Auflösung des Vorsorgeverhältnisses bzw. bei Ablauf der Nachdeckungsfrist nicht voll arbeits fähig ist und in der Folge innerhalb von 360 Tagen im Sinne von Art. 5 VSR invalid erklärt wird, Anspruch auf Invaliditätsleistungen nach diesem Reglement. Erhöht sich der Invaliditätsgrad aus gleich er Ursache innert weiterer 90 Tage, oder erhöht sich der Invaliditätsgrad einer bei Auflösung des Vorsorgeverhält nisses bzw. bei Ablauf der Nach d eckungsfrist invaliden Person aus gleicher Ursache innert 90 Tagen, so werden auch für die Erhöhung die Invaliditäts leistungen nach dem Reglement erbracht. Tritt die Invalidität oder die Erhöhung des Invaliditätsgrades nicht innerhalb der genannten Fristen ein, so richtet sich ein allfälliger Anspruch auf Invaliditätsleistungen oder höhere Invaliditäts leistungen ausschliesslich nach den Bestimmungen des BVG. Es werden höchstens die Mindestleistungen gemäss BVG erbracht.</w:t>
      </w:r>
    </w:p>
    <w:p>
      <w:r>
        <w:t>Invalidität im Sinne von Art. 5 Abs. 1 VSR liegt vor, wenn die versicherte Person im Sinne der IV invalid ist oder durch ärztlichen Befund objektiv nachweisbar ganz oder teilweise ihren Beruf oder eine anderer ihrer sozialen Stellung, ihren Kenntnissen und Fähigkeiten angemessene Erwerbstätigkeit nicht mehr ausüben kann.</w:t>
      </w:r>
    </w:p>
    <w:p>
      <w:r>
        <w:rPr>
          <w:b/>
        </w:rPr>
        <w:t>E. 6.2</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 edi ngungen zu beachten, insbesondere die Unklarheits- und die Ungewöhnlichkeitsregel (BGE 132 V 149 E. 5, 130 V 80 E. 3.2.2, 122 V 142 E. 4c).</w:t>
      </w:r>
    </w:p>
    <w:p>
      <w:r>
        <w:rPr>
          <w:b/>
        </w:rPr>
        <w:t>E. 6.3</w:t>
      </w:r>
    </w:p>
    <w:p>
      <w:r>
        <w:t>Die Beklagte 1 erbrachte nach Aussteuerung der Krankentaggelder vom 28. Dezember 2009 bis zum 6. Februar 2011 Renten gemäss BVG und vom 7. Februar 2011 bis zum 31. Januar 2012 Renten gemäss Plan jeweils einem IV-Grad von 100 % entsprechend (Urk. 2/3). Der Eintritt der Invalidität erfolgte damit inner halb von 360 Tagen nach Ablauf der Nachdeckungsfrist. Der Kläger wurde danach - wie bereits gezeigt (vgl. E. 5) nicht mehr voll arbeitsfähig, womit er im Sinne von Art. 5 Abs. 1 VSR invalid blieb, da er danach seinen Beruf zumindest teilweise nicht mehr ausüben konnte.</w:t>
      </w:r>
    </w:p>
    <w:p>
      <w:r>
        <w:t>Daran ändert das Vorbringen der Beklagten 1, dass der Leistungsanspruch erst Jahre später entstanden sei, nichts (vgl. Urk. 9). Der Leistungsanspruch wurde insbesondere aufgrund diverser Eingliederungsmassnahmen sowie einer ver späteten Anmeldung aufgeschoben - die Invalidität im Sinne von Art. 5 Abs. 1 VSR blieb hingegen bestehen, womit Anspruch auf eine reglementarische Rente besteht.</w:t>
      </w:r>
    </w:p>
    <w:p>
      <w:r>
        <w:rPr>
          <w:b/>
        </w:rPr>
        <w:t>E. 7</w:t>
      </w:r>
    </w:p>
    <w:p>
      <w:r>
        <w:t>Auf Invalidenleistungen sind Verzugszinsen geschuldet, wobei grundsätzlich Art. 105 Abs. 1 des Obligationenrechts (OR) anwendbar ist (BGE 119 V 131 E. 4). Danach ist der Verzugszins vom Tage der Anhebung der Betreibung oder der gerichtlichen Klage an geschuldet. Der Zinssatz beträgt 5 %, sofern das Reglement der Vorsorgeeinrichtung keine andere Regelung kennt (BGE 119 V 131 E. 4c; vgl. Urk. 30/1) , was vorliegend nicht der Fall ist (vgl. Urk. 10/5) . Dem Kläger sind folglich für die bis zur Klageerhebung am 15. September 2020 (vgl. Urk. 1) fällig gewordenen Rentenbetreffnisse ab diesem Zeitpunkt und für die weiteren Rentenleistungen ab deren jeweiligem Fälligkeitsdatum Verzugszinsen von 5 % zuzusprechen.</w:t>
      </w:r>
    </w:p>
    <w:p>
      <w:r>
        <w:rPr>
          <w:b/>
        </w:rPr>
        <w:t>E. 8</w:t>
      </w:r>
    </w:p>
    <w:p>
      <w:r>
        <w:t>.</w:t>
      </w:r>
    </w:p>
    <w:p>
      <w:r>
        <w:t>Zusammenfassend ist die Beklagte 1 in Gutheissung der gegen sie gerichteten Klage zu verpflichten, dem Kläger ab 1. November 2016 eine Invalidenrent e basierend a uf einem Invaliditätsgrad von 75 % gemäss</w:t>
      </w:r>
    </w:p>
    <w:p>
      <w:r>
        <w:t>Reglement in Höhe von F r. 31‘824.--</w:t>
      </w:r>
    </w:p>
    <w:p>
      <w:r>
        <w:t>auszurichten (Urk. 35) , jeweils zuzüglich Verzugszins wie vorstehend dargelegt (vgl. Verfügung vom 6. Oktober 2017, Urk. 14/200) .</w:t>
      </w:r>
    </w:p>
    <w:p>
      <w:r>
        <w:t>Die Klage gegen die Beklagte 2 ist abzuweisen.</w:t>
      </w:r>
    </w:p>
    <w:p>
      <w:r>
        <w:rPr>
          <w:b/>
        </w:rPr>
        <w:t>E. 9</w:t>
      </w:r>
    </w:p>
    <w:p>
      <w:r>
        <w:t>.</w:t>
      </w:r>
    </w:p>
    <w:p>
      <w:r>
        <w:t>Das Verfahren ist kostenlos.</w:t>
      </w:r>
    </w:p>
    <w:p>
      <w:r>
        <w:t>Dem Kläger steht eine Prozessentschädigung zu, welche vom Gericht ohne Rück sicht auf den Streitwert nach der Bedeutung der Streitsache und der Schwierigkeit des Prozesses, dem Zeitaufwand und den Barauslagen festgesetzt wird (§ 34 Abs. 1 und 3 des Gesetzes über das Sozialversicherungsgericht, GSVGer). Die Rechtsvertreterin des Beschwerdeführers machte mit Honorarnote vom 18. Januar 2022 40.50 Stunden Aufwand geltend (Urk. 31). Angesichts der Tatsache, dass vorliegend keine schwierigen Rechtsfragen zu klären waren, erscheint dieser Aufwand, insbesondere die 19.2 Stunden für die Ausarbeitung der Klag eschrift, als übersetzt. Bei grosszügiger Betrachtung können eine Stunde Aufwand für Instruktion, drei weitere Stunden für Aktenstudium sowie fünf Stunden für das Abfassen einer sich auf das Wesentliche beschränkenden Rechtsschrift als gerechtfertigt betrachtet werden. Zweieinhalb weitere Stunden können für die Erstellung der weiteren Eingaben anerkannt werden und eine Stunde für die Nachbearbeitung des Urteils. Damit erscheint bei einem gerichtsüblichen Stun denansatz von Fr. 220.-- eine Parteientschädigung in der Höhe von rund Fr. 3‘000 .-- (inklusive Baraus lagen und Mehrwertsteuer) als angemessen.</w:t>
      </w:r>
    </w:p>
    <w:p>
      <w:r>
        <w:t>Die Beklagte 1 ist deshalb zu verpflichten, dem Kläger eine Prozessentschädigung von Fr. 3‘000 .-- (inkl. Barauslagen und MWSt ) auszurichten. Das Gericht erkennt: 1.</w:t>
      </w:r>
    </w:p>
    <w:p>
      <w:r>
        <w:t>In Gutheissung der Klage wird die Beklagte 1 verpflichtet, dem Kläger ab 1. November 2016 eine Invalidenrente der beruflichen Vorsorge basierend a uf einem Invaliditätsgrad von 75 % gemäss Reglement in Höhe von Fr. 31'824.--</w:t>
      </w:r>
    </w:p>
    <w:p>
      <w:r>
        <w:t>auszurichten, zuzüglich Verzugszins von 5 % für die bis zum 15. September 2020 geschuldeten Betreffnisse ab diesem Datum und für die restlichen ab dem jeweiligen Fälligkeitsdatum. 2.</w:t>
      </w:r>
    </w:p>
    <w:p>
      <w:r>
        <w:t>Das Verfahren ist kostenlos. 3.</w:t>
      </w:r>
    </w:p>
    <w:p>
      <w:r>
        <w:t>Die Beklagte 1 wird verpflichtet, dem Kläger eine Prozessentschädigung von Fr. 3’000 .-- (inkl. Barauslagen und MWSt ) zu bezahlen. 4.</w:t>
      </w:r>
    </w:p>
    <w:p>
      <w:r>
        <w:t>Zustellung gegen Empfangsschein an: - Rechtsanwältin Nathalie Tuor - Sammelstiftung berufliche Vorsorge Swiss Life - Pensionskasse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