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BV.2019.00078 vom 8. November 2019</w:t>
      </w:r>
    </w:p>
    <w:p>
      <w:r>
        <w:t>ZH Sozialversicherungsgericht, 2019-11-08, DE</w:t>
      </w:r>
    </w:p>
    <w:p>
      <w:r>
        <w:rPr>
          <w:b/>
        </w:rPr>
        <w:t xml:space="preserve">Quelle: </w:t>
      </w:r>
      <w:r>
        <w:t>https://mcp.opencaselaw.ch/entscheid/zh_sozialversicherungsgericht_BV.2019.00078</w:t>
      </w:r>
    </w:p>
    <w:p>
      <w:r>
        <w:t>FR: ZH_SOZIALVERSICHERUNGSGERICHT BV.2019.00078 du 8 novembre 2019</w:t>
      </w:r>
    </w:p>
    <w:p>
      <w:r>
        <w:t>IT: ZH_SOZIALVERSICHERUNGSGERICHT BV.2019.00078 del 8 novembre 2019</w:t>
      </w:r>
    </w:p>
    <w:p>
      <w:pPr>
        <w:pStyle w:val="Heading2"/>
      </w:pPr>
      <w:r>
        <w:t>Erwägungen</w:t>
      </w:r>
    </w:p>
    <w:p>
      <w:r>
        <w:rPr>
          <w:b/>
        </w:rPr>
        <w:t>E. 2</w:t>
      </w:r>
    </w:p>
    <w:p>
      <w:r>
        <w:t>BVG und Art. 104 Abs. 1 des Obligationen rechts haben und seitens der Beklagten unbestritten geblieben sind,</w:t>
      </w:r>
    </w:p>
    <w:p>
      <w:r>
        <w:t>namentlich keine Anzeichen für falsche Berechnungen oder dergleichen bestehen,</w:t>
      </w:r>
    </w:p>
    <w:p>
      <w:r>
        <w:t>es sich bei der eingeklagten Bearbeitungsgebühr von Fr. 600.-- um die gemäss Ziff.</w:t>
      </w:r>
    </w:p>
    <w:p>
      <w:r>
        <w:rPr>
          <w:b/>
        </w:rPr>
        <w:t>E. 4</w:t>
      </w:r>
    </w:p>
    <w:p>
      <w:r>
        <w:t>Zustellung gegen Empfangsschein an: - Columna Sammelstiftung Group Invest , Winterthur - X.___ - Bundesamt für Sozialversicherungen sowie an: - Gerichtskasse (im Dispositiv nach Eintritt der Rechtskraft)</w:t>
      </w:r>
    </w:p>
    <w:p>
      <w:r>
        <w:rPr>
          <w:b/>
        </w:rPr>
        <w:t>E.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