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BV.2019.00055 vom 30. Juni 2021</w:t>
      </w:r>
    </w:p>
    <w:p>
      <w:r>
        <w:t>ZH Sozialversicherungsgericht, 2021-06-30, DE</w:t>
      </w:r>
    </w:p>
    <w:p>
      <w:r>
        <w:rPr>
          <w:b/>
        </w:rPr>
        <w:t xml:space="preserve">Quelle: </w:t>
      </w:r>
      <w:r>
        <w:t>https://mcp.opencaselaw.ch/entscheid/zh_sozialversicherungsgericht_BV.2019.00055</w:t>
      </w:r>
    </w:p>
    <w:p>
      <w:r>
        <w:t>FR: ZH_SOZIALVERSICHERUNGSGERICHT BV.2019.00055 du 30 juin 2021</w:t>
      </w:r>
    </w:p>
    <w:p>
      <w:r>
        <w:t>IT: ZH_SOZIALVERSICHERUNGSGERICHT BV.2019.00055 del 30 giugno 2021</w:t>
      </w:r>
    </w:p>
    <w:p>
      <w:pPr>
        <w:pStyle w:val="Heading2"/>
      </w:pPr>
      <w:r>
        <w:t>Erwägungen</w:t>
      </w:r>
    </w:p>
    <w:p>
      <w:r>
        <w:rPr>
          <w:b/>
        </w:rPr>
        <w:t>E. 1.1</w:t>
      </w:r>
    </w:p>
    <w:p>
      <w:r>
        <w:t>Der Kläger brachte in seiner Klage vom 3. Juli 2019 vor, er sei erkrankt, als er noch bei der Y.___ AG in Zürich arbeitstätig gewesen sei . Er habe an invalidi sierenden Rückenschmerzen gelitten, welche letztlich zur Zusprechung einer Invalidenrente geführt hätten. Die Beklagte habe den sachlichen und zeitlichen Kausalzusammenhang zwischen den Rückenbeschwerden und den psychischen Leiden sowie der heutigen Invalidität nicht bestritten, worauf sie zu behaften sei. Sie führe aber an, das Sozialversicherungsgericht habe ihn nicht mehr als Lohn empfänger, sondern als im Haushalt Tätigen und Betreuer seiner i nvaliden Ehefrau betrachtet , weshalb sie nicht leistungspflichtig sei . Der (vorübergehende) Statuswechsel ändere jedoch nichts an der Leistungspflicht der Beklagten, weil der Kläger, als er noch versichert gewesen sei, an denselben Beschwerden gelitten habe, welche sich invalidisierend ausgewirkt hätten. Mittlerweile sei der Kläger aber nicht einmal mehr in der Lage, die Aufgabe als Unterstützer seiner Ehefrau wahrzunehmen. Die erwachsenen Töchter würden diese Aufgabe nun überneh men. Die Ablehnung der Rentenle istungen mit der Begründung des Status wechsels sei gesetzeswidrig, verfassungswidrig und verstosse gegen die EMRK. Es sei zudem systemwidrig, wenn die Beklagte ihre Leistungen verweigere und dadurch die Steuerzahler zur Bezahlung der existenzsichernden Einnahmen zwinge (Urk. 1).</w:t>
      </w:r>
    </w:p>
    <w:p>
      <w:r>
        <w:rPr>
          <w:b/>
        </w:rPr>
        <w:t>E. 1.2</w:t>
      </w:r>
    </w:p>
    <w:p>
      <w:r>
        <w:t>Die Beklagte machte demgegenüber in ihrer Klageantwort vom 8. August 2019 geltend, für den Kläger als im Aufgabenbereich Tätigen bestehe keine Deckung im Rahmen der beruflichen Vorsorge. Ausserdem seien die Krankentaggeld leistungen per 30. Juni 2004 eingestellt worden, da der Kläger in einer Verweistätigkeit zu 100 % arbeitsfähig gewesen sei. Anschliessen d habe er während zwei Jahren Taggelder der Arbeitslosenversicherung bezogen. Prinzipiell bestehe nur bei Vermittelbarkeit Anspruch auf Taggelder; die Vermittelbarkeit sei nach der Rechtsprechung ein Indiz für die Unterbrechung der zeitlichen Konnexi tät . Die IV-Stelle habe mit Verfügung vom 2. März 2007 sodann einen Anspruch auf eine Invalidenrente bei einem Erwerbsunfähigkeitsgrad von 22 % verneint. Es werde daher bestritten, dass die Arbeitsunfähigkeit, welche ab Mai 2012 zur Zusprechung einer halben Rente der Invalidenversicherung geführt habe, während der Versicherungsdeckung der Beklagten bis zum 31. Dezember 2003 eingetreten sei.</w:t>
      </w:r>
    </w:p>
    <w:p>
      <w:r>
        <w:rPr>
          <w:b/>
        </w:rPr>
        <w:t>E. 1.3</w:t>
      </w:r>
    </w:p>
    <w:p>
      <w:r>
        <w:t>In der Replik vom 23. September 2019 führte der Kläger aus, die Beklagte sei über den Entscheid der IV-Stelle vom 14. März 2019 informiert worden. Damit bestehe eine Bindungswirkung (Urk. 14) . 2.</w:t>
      </w:r>
    </w:p>
    <w:p>
      <w:r>
        <w:t>2 .1</w:t>
      </w:r>
    </w:p>
    <w:p>
      <w:r>
        <w:t>Anspruch auf Invali denleistungen haben gemäss Art. 23 des Bundesgesetzes über die berufliche Alters-, Hinterlassen en- und Invalidenvorsorge (BVG) Personen, die im Sinne der Invalidenversicherung zu mindestens 40 % invalid sind und bei Eintritt der Arbeitsunfähigkeit, deren Ursache zur Invalidität geführt h 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 id werden. Für eine einmal aus – während der Versicherungsdauer aufgetretene – Arbeitsunfähigkeit geschuldete Invalidenleistung bleibt die Vorsorgeeinrich tung somit leistungspflichtig, selbst wenn sich nach Beendigung des Vorsorge verhältnisses der Invaliditätsgrad ändert. Entsprechend bildet denn auch der Wegfall der Versicherteneigensch aft kein Erlöschungsgrund (Art. 26 Abs.</w:t>
      </w:r>
    </w:p>
    <w:p>
      <w:r>
        <w:rPr>
          <w:b/>
        </w:rPr>
        <w:t>E. 2</w:t>
      </w:r>
    </w:p>
    <w:p>
      <w:r>
        <w:t>Mit Eingabe vom</w:t>
      </w:r>
    </w:p>
    <w:p>
      <w:r>
        <w:rPr>
          <w:b/>
        </w:rPr>
        <w:t>E. 3</w:t>
      </w:r>
    </w:p>
    <w:p>
      <w:r>
        <w:t>BVG e contrario ; BGE 123 V 262 E. 1a, 118 V 35 E. 5). Unter Arbeitsunfähigkeit ist die Einbusse an funktionellem Leistungsvermögen im bisherigen Beruf od er Aufgabenbereich zu verstehen. Sie muss mindestens 20 Prozent betragen ( Urteil des Bundesgerichts 9C_679/2013 vom 16. April 2014 E. 2.1 mit Hinweisen). 2 .2</w:t>
      </w:r>
    </w:p>
    <w:p>
      <w:r>
        <w:t>Damit eine Vorsorgeeinrichtung, der eine Arbeitnehmerin oder ein Arbeitnehmer beim Eintritt der Arbeitsunfähigkeit angeschlossen war, für das erst nach Beendigung des Vorsorgeverhältnisses eingetretene Invaliditätsrisiko aufzukom men hat, ist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(Urteil des Bundesgerichts B 64/06 vom 17. April 2007 E. 3.1 mit Hinweisen ) .</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 Versicherter über längere Zeit hinweg als voll vermittlungs fähiger Stellensuchender Taggelder der A rbeitslosenversicherung bezieht ( BGE 134 V 20 E. 3.2.1 mit Hinweisen). Eine Unterbrechung des zeitlichen Konnexes ist</w:t>
      </w:r>
    </w:p>
    <w:p>
      <w:r>
        <w:t>jedenfalls dann anzunehmen, wenn während mehr als dreier Monate ei ne Arbeitsfähigkeit von über 80 % in einer angepasst en Erwerbstätigkeit gegeben ist (BGE 144 V 58 E. 4.5) und diese Tätigkeit bezogen auf die angestammte die Erzielung eines den Anspruch auf eine Rente der Invalidenversicherung auss chliessenden Einkommens erlaubt ( Urteil des Bundesgerichts 9C_630/2017 vom 9. Mai 2018 E. 3 mit Hinweisen). 2 .3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 einrichtung beziehungsweise das Berufsvorsorgegericht zur Folge (Urteil des Bundesgerichts 9C_49/2010 vom 2 3. Februar 2010 E. 2.1).</w:t>
      </w:r>
    </w:p>
    <w:p>
      <w:r>
        <w:t>Diese Bindungswirkung setzt voraus, dass die Vorsorgeeinrichtung (spätestens) ins Vorbescheidverfahren ( Art. 73 ter</w:t>
      </w:r>
    </w:p>
    <w:p>
      <w:r>
        <w:t>der Verordnung über die Invaliden versicherung , IVV ) einbezogen und ihr die Rentenverfügung formgültig eröffnet wurde (Urteil des Bu ndesgerichts 9C_81/2010 vom 16. Juni 2010 E. 3.1, mit Hinweisen). Dem BVG-Versicherer steht ein selbständiges Beschwerderecht im Verfahren nach IVG zu. Unterbleibt ein solches Einbeziehen der Vorsorge 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3 .</w:t>
      </w:r>
    </w:p>
    <w:p>
      <w:r>
        <w:t>3 .1</w:t>
      </w:r>
    </w:p>
    <w:p>
      <w:r>
        <w:t>Es wurde nicht bestritten, dass der Kläger noch während seiner vom 2. März 1992 bis am 31. Dezember 2003 dauernden Anstellung bei der Y.___ AG (Urk. 11/17 /1 ) i n seiner bisherigen Tätigkeit als Gipser arbeitsunfähig wurde: Er bezog a b dem 26. November 2002 Krankentaggeldleistungen und die vom Krankentaggeldversicherer veranlasste</w:t>
      </w:r>
    </w:p>
    <w:p>
      <w:r>
        <w:t>Untersuchung beim Z.___</w:t>
      </w:r>
    </w:p>
    <w:p>
      <w:r>
        <w:t>ergab, dass ihm die Tätigkeit a ls Gipser aufgrund eines Panvertebralsyndroms mit schwergewichtig lumbospon dylogenem Syndrom nicht mehr zumutbar sei . In einer angepassten Tätigkeit wurde ihm hingegen eine 100%ige Arbeitsfähigkeit attestiert (vgl. Urk. 11/6 , Urk. 11/11 und Urk. 11/19/5-15). Aufgrund der Arbeitsunfähigkeit in der angestammten Tätigkeit als Gipser ist mit dem im Sozialversicherungsrecht geltenden Beweisgrad der überwiegenden Wahrscheinlichkeit echtzeitlich nachgewiesen , dass eine rechtsprechungsgemäss relevante Arbeitsunfähigkeit (vgl. E. 3.1)</w:t>
      </w:r>
    </w:p>
    <w:p>
      <w:r>
        <w:t>am 26. November 2002 eingetreten ist. 3 .2</w:t>
      </w:r>
    </w:p>
    <w:p>
      <w:r>
        <w:t>3 .2.1</w:t>
      </w:r>
    </w:p>
    <w:p>
      <w:r>
        <w:t>D er Kläge r bezieht seit dem 1. Mai 2012 eine halbe Rente der Invalidenversiche rung , wobei die bereits bekannten somatischen Einschränkungen bei der Zusprechung der Rente führend waren (vgl. Urk. 11/235). Ein sachlicher Konnex ist damit unstrittig gegeben . 3 .2.2</w:t>
      </w:r>
    </w:p>
    <w:p>
      <w:r>
        <w:t>Uneinig sind sich die Parteien jedoch hinsichtlich einer zeitlichen Konnexität zwischen der im Jahr 2002 eingetretenen Arbeitsunfähigkeit und der späteren Invalidität. Wie bereits ausgeführt, wurd e dem Kläger im Bericht des Z.___ vom 29. März 2004 in einer angepassten Tätigkeit eine 100%ige Arbeitsfähigkeit attestiert (Urk. 11/19/8). Von Mai 2004 bis Januar 2006 bezog er bei einer Vermittelbarkeit von 100 % ununterbrochen</w:t>
      </w:r>
    </w:p>
    <w:p>
      <w:r>
        <w:t>– abgesehen vom Monat August 2004 – Taggelder der Arbeitslosenversicherung. Für die Zeit v om 1. Mai 2005 bis am 31. Oktober 20 0 5 nahm er auf Anweisung des Regionalen Arbeitsvermittlungszentrum s an einem Beschäftig ungsprogramm der A.___ mit einem Beschäfti gungsgrad von 100 % teil (Urk. 11/10 und Urk. 11/35; vgl. auch Urk. 11/22 und Urk. 11/13/5 ) und verrichtete an der B.___ Tätigkeiten</w:t>
      </w:r>
    </w:p>
    <w:p>
      <w:r>
        <w:t>als Handwerker/Allrounder. Im Arbeits zeugnis wurde festgehalten, der Kläger habe hauptsächlich Malerarbeiten sowie kleine handwerkliche Aufträge ausgeführt, wobei sich seine langjährige Berufs erfahrung als Gipser in der Arbeitsausführung wiedergespiegelt habe. Trotz seiner gesundheitlichen Beschwerden habe er grossen Durchhaltewillen sowie Ausdauer gezeigt und die einzelnen Arbeitsschritte exakt, routiniert und zielorientiert erle digt; seine Arbeitsresultate hätten jeweils überzeugt. Der Kläger könne als gewis senhafter, zuverlässiger und pünktlicher Mitarbeiter empfohlen werden</w:t>
      </w:r>
    </w:p>
    <w:p>
      <w:r>
        <w:t>(vgl.</w:t>
      </w:r>
    </w:p>
    <w:p>
      <w:r>
        <w:t>Urk. 11/9 /3 ). Obwohl die zu verrichtenden Arbeiten nicht durchwegs dem Belastungsprofil entsprochen haben dürften ( vgl. Urk. 11/26/1), war der Kläger in der Lage, am Beschäftigungsprogramm vollzeitlich und erfolgreich teilzunehmen. In Zusammenschau mit der ihm in einer angepassten Tätigkeit attestierten Arbeits fähigkeit von 100 % ist die Unterbrechung des zeitlichen Konnexes mit dem Beweisgrad der überwiegenden Wahrscheinlichkeit somit</w:t>
      </w:r>
    </w:p>
    <w:p>
      <w:r>
        <w:t>erstellt. Kann vom Ver sicherten vernünftigerweise verlangt werden, dass er die ihm verbliebene Arbeits fähigkeit in einem anderen Berufszweig verwertet, ist er unter Berücksich tigung der Arbeitsmarktlage und gegebenenfalls nach einer bestimmten Anpas sungszeit nach der beruflichen Tätigkeit zu beurteilen, die er bei gutem Willen ausüben könnte (BGE 134 V 20 E. 3.2.2 mit Hinweisen). Dass der Kläger die ihm verblie bene Arbeitsfähigkeit in einer angepassten Tätigkeit auf dem Arbeitsmarkt letzt lich nicht verwertete, hatte invaliditätsfremde Gründe. Er gab selbst an, seine Ehefrau nach deren am 2. Juli 200 5 erlittene n Unfall mit Polytrauma (vgl. Urk. 11/201/660) zu Hause zu pflegen (vgl. Urk. 11/55/3). 3 .2.3</w:t>
      </w:r>
    </w:p>
    <w:p>
      <w:r>
        <w:t>Zusätzlich kann auf Folgendes verwiesen werden: Da nebst den Ärzten des Z.___ auch sämtliche übrigen Ärzte dem Kläger im Erstanmeldungsverfahren eine 100%ige Arbeitsfähigkeit in einer optimal angepassten Tätigkeit attestierten (vgl. den Austrittsberich t des Universitätsspitals C.___ , Rheumaklinik und Institut für Physikalische Medizin, vom 2. August 2004 [Urk. 11/19/21], Ber icht von Dr. med. D.___ , Fachärztin FMH für Physikalische Medizin, vom 30. März 2006 [Urk. 11/18/4] ), gelangte der Regionale Ärztliche Dienst der IV-Stelle (RAD) in seiner Stellungnahme vom 4. Oktober 2006 (Urk. 11/27/3) zum Schluss, in einer angepassten Tätigkeit sei der Kläger zu jeder Zeit zu 100 % arbeitsfähig ( gewe sen ) . Gestützt auf diese Beurteilung lehnte die IV-Stelle mit – unangefochten gebliebener – Verfügung vom 2. März 2007 einen Anspruch des Klägers auf Leistungen der Invalidenversicherung, insbesondere auf Rentenleistungen, bei einem Invaliditätsgrad von 22 % ab (Urk. 11/30; vgl. auch Urk. 11/27/4). Diese invalidenversicherungsrechtliche Betrachtungsweise muss sich der Kläger entge genhalten lassen. Sie erweist sich nicht als off ensichtlich unhaltbar (vgl. E. 3 .3). 3 .2.4</w:t>
      </w:r>
    </w:p>
    <w:p>
      <w:r>
        <w:t>Aus den vorstehenden Erwägungen ergibt sich somit zusammenfassend , dass der zeitliche Konnex zwischen Arbeitsunfähigkeit und Invalidität durch die bis mindestens am 2. März 2007 (ablehnende Verfügung der IV-Stelle) andauernde uneingeschränkte Arbeitsfähigkeit in einer angepassten Tätigkeit unterbrochen wurde, was zur Abweisung der Klage führt . Zu einer allfälligen Leistungspflicht der Beigeladenen hat si ch das Gericht nicht zu äussern; sie wurde nicht eingeklagt (BGE 130 V 501). Aus den vorstehenden Erwägungen ergibt sich jedoch selbstredend, dass auch sie keine Leistungspflicht treffen dürfte. 3.2.5</w:t>
      </w:r>
    </w:p>
    <w:p>
      <w:r>
        <w:t>Zufolge Unterbrechung des zeitlichen Konnexes können Weiterungen betreffend die Frage , ob der von der IV-Stelle vorgenommene Statuswechsel (vom Kläger als « Umqualifizierung » bezeichnet) von «erwerbstätig» zu «im Aufgabenbereich tätig» bereits von vornherein einen Rentenanspruch gegenüber der beruflichen Vorsorge ausschlösse , was von der Beklagten vorgebracht wurde , unterbleiben (Urk. 6 S. 3) . 4 .</w:t>
      </w:r>
    </w:p>
    <w:p>
      <w:r>
        <w:t>Die Beklagte verzichtete in ihrer Funktion als Trägerin der beruflichen Vorsorge richtigerweise dar auf, eine Prozessentschädigung zu beantragen (BGE 128 V 133 E. 5b, 126 V 143 E. 4a mit Hinweis). Das Gericht erkennt: 1.</w:t>
      </w:r>
    </w:p>
    <w:p>
      <w:r>
        <w:t>Die Klage wird abgewiesen. 2.</w:t>
      </w:r>
    </w:p>
    <w:p>
      <w:r>
        <w:t>Das Verfahren ist kostenlos. 3.</w:t>
      </w:r>
    </w:p>
    <w:p>
      <w:r>
        <w:t>Zustellung gegen Empfangsschein an: - Rechtsanwalt Dr. Kreso</w:t>
      </w:r>
    </w:p>
    <w:p>
      <w:r>
        <w:t>Glavas - Sammelstiftung BVG der Zürich Lebensversicherungs-Gesellschaft AG - Stiftung Auffangeinrichtung BVG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