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BV.2019.00015 vom 3. September 2020</w:t>
      </w:r>
    </w:p>
    <w:p>
      <w:r>
        <w:t>ZH Sozialversicherungsgericht, 2020-09-03, DE</w:t>
      </w:r>
    </w:p>
    <w:p>
      <w:r>
        <w:rPr>
          <w:b/>
        </w:rPr>
        <w:t xml:space="preserve">Quelle: </w:t>
      </w:r>
      <w:r>
        <w:t>https://mcp.opencaselaw.ch/entscheid/zh_sozialversicherungsgericht_BV.2019.00015</w:t>
      </w:r>
    </w:p>
    <w:p>
      <w:r>
        <w:t>FR: ZH_SOZIALVERSICHERUNGSGERICHT BV.2019.00015 du 3 septembre 2020</w:t>
      </w:r>
    </w:p>
    <w:p>
      <w:r>
        <w:t>IT: ZH_SOZIALVERSICHERUNGSGERICHT BV.2019.00015 del 3 settembre 2020</w:t>
      </w:r>
    </w:p>
    <w:p>
      <w:pPr>
        <w:pStyle w:val="Heading2"/>
      </w:pPr>
      <w:r>
        <w:t>Erwägungen</w:t>
      </w:r>
    </w:p>
    <w:p>
      <w:r>
        <w:rPr>
          <w:b/>
        </w:rPr>
        <w:t>E. 1</w:t>
      </w:r>
    </w:p>
    <w:p>
      <w:r>
        <w:t>X.___ , geboren 1967, war v om 1. November 1997 bis zum</w:t>
      </w:r>
    </w:p>
    <w:p>
      <w:r>
        <w:rPr>
          <w:b/>
        </w:rPr>
        <w:t>E. 3</w:t>
      </w:r>
    </w:p>
    <w:p>
      <w:r>
        <w:t>BVG e contrario ; BGE 123 V 262 E. 1a, 118 V 35 E. 5). 2.3</w:t>
      </w:r>
    </w:p>
    <w:p>
      <w:r>
        <w:t>Art. 23 BVG kommt auch die Funktion zu, die Haftung mehrerer Vorsorge einrichtungen gegeneinander abzugrenzen, wenn eine in ihrer Arbeitsfähigkeit bereits beeinträchtigte versicherte Person ihre Arbeitsstelle (und damit auch die Vorsorgeeinrichtung) wechselt und ihr später eine Rente der Invaliden versicherung zugesprochen wird. Der Anspruch auf Invalidenleistungen nach Art. 23 BVG entsteht in diesem Fall nicht gegenüber der neuen Vorsorge einrichtung, sondern gegenüber derjenigen, welcher die Person im Zeitpunkt des Eintritts der invalidisierenden Arbeitsunfähigkeit angehörte. Damit eine Vorsorgeeinrichtung, der eine Arbeitnehmerin oder ein Arbeitnehmer beim Eintritt der Arbeitsunfähigkeit angeschlossen war, für das erst nach Beendigung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der Verordnung über die Invalidenversicherung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Arbeit veranlasst haben (BGE 123 V 262 E. lc , 120 V 112 E. 2c/ aa und 2c/ bb mit Hinweisen). 2.5</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3.1</w:t>
      </w:r>
    </w:p>
    <w:p>
      <w:r>
        <w:t>Die Gutach ter der medas B.___ notiert en folgende Diagnosen mit Auswirkungen auf die Arbeitsfähigkeit ( Urk. 12/121/38 ): - Minderbelastbarkeit des rechten Sprunggelenkes mit/bei - Status nach drittgradig offener subtalarer Luxationsfraktur rechts mit Läsion der Arteria</w:t>
      </w:r>
    </w:p>
    <w:p>
      <w:r>
        <w:t>tibialis</w:t>
      </w:r>
    </w:p>
    <w:p>
      <w:r>
        <w:t>posterior und der Sehne des Musculus</w:t>
      </w:r>
    </w:p>
    <w:p>
      <w:r>
        <w:t>flexor</w:t>
      </w:r>
    </w:p>
    <w:p>
      <w:r>
        <w:t>hallucis</w:t>
      </w:r>
    </w:p>
    <w:p>
      <w:r>
        <w:t>longus am 16.08.2003 - Status nach Anlage eines Fixateur externe vom M e t a tarsale I zur Tibia, Naht der Sehne des Musculus</w:t>
      </w:r>
    </w:p>
    <w:p>
      <w:r>
        <w:t>flexor</w:t>
      </w:r>
    </w:p>
    <w:p>
      <w:r>
        <w:t>hallucis</w:t>
      </w:r>
    </w:p>
    <w:p>
      <w:r>
        <w:t>longus und Re-Adaptation der Arteria</w:t>
      </w:r>
    </w:p>
    <w:p>
      <w:r>
        <w:t>tibialis</w:t>
      </w:r>
    </w:p>
    <w:p>
      <w:r>
        <w:t>posterior am 17.08.2003 - Status nach Kirschnerdraht -Osteosynthese des rechten unteren Sprung gelenkes (USG) und Entfernung des Fixateur externe am 28.08.2003 - Status nach Kirschnerdrahtentfernung am 07.10.2003 - Status nach USG- Arthrodese , Cheilotomie</w:t>
      </w:r>
    </w:p>
    <w:p>
      <w:r>
        <w:t>talo-navicular und im Bereich des oberen Sprunggelenkes (OSG) am 31.01.2006 wegen USG-Arthrose, OSG-Arthrose und Talonavicular -Arthrose - Status nach Materialentfernung USG und talo-navicularer sowie calcaneo-cuboidaler</w:t>
      </w:r>
    </w:p>
    <w:p>
      <w:r>
        <w:t>Arthrodese rechts am 29.05.2007 wegen talo-navicularer und cuboidaler Arthrose - posttraumatischer OSG-Arthrose mit Funktionseinschränkung für Plantarflexion grösser als Dorsalextension - Status nach arthroskopischer ventraler Capsulolyse und Débridement sowie Entfernung von freien Knorpelflakes und Mikrofrakturierung des rechten OSG am 22.05.2008 wegen beginnender OSG-Arthrose mit ventraler Vernarbung und Impingement - Posttraumatischer Arthrose des rechten OSG sowie des Naviculare - Cuneiforme -Gelenkes rechts - Verdacht auf Allodynie des rechten Fusses mit dysästhetischem Gefühlsbild - Initialem Hallux</w:t>
      </w:r>
    </w:p>
    <w:p>
      <w:r>
        <w:t>rigidus rechts - Leichte bis mittelgradige depressive Störung ohne somatisches Syndrom (ICD-10 F32.00/10) - Chronische Schmerzstörung mit somatischen und psychischen Faktoren (ICD-10 F45.41)</w:t>
      </w:r>
    </w:p>
    <w:p>
      <w:r>
        <w:t>Als Diagnosen ohne wesentliche Einschränkung der Arbeitsfähigkeit notierten sie (1) einen Verdacht auf rezidivierende Iliosakralgelenks -Funktionsstörungen (ISG), aktuell Funktionsstörung des oberen und unteren Anteils des rechten ISG und (2) eine initiale mediale und femoropatellare Arthrose rechtes Kniegelenk ohne Funktionseinschränkungen.</w:t>
      </w:r>
    </w:p>
    <w:p>
      <w:r>
        <w:t>In der angestammten Tätigkeit sei der Kläger seit dem Unfall vollumfänglich arbeitsunfähig. In einer adaptierten Tätigkeit erachteten sie den Kläger aus psychiatrischer Sicht infolge der genannten Diagnosen im Sinne von eingeschränkter Belastbarkeit, Verlangsamung und vermehrten Pausen zu ca.</w:t>
      </w:r>
    </w:p>
    <w:p>
      <w:r>
        <w:t>30 % eingeschränkt. Diese Einschränkung beziehe sich auf eine volle Anwesenheit mit verminderter Leistung um 30 % . Diese Einschränkung habe sich langsam entwickelt und die anfängliche körperliche Einschränkung abgelöst, wobei der genaue Z eitpunkt kaum feststellbar sei . Nebst den somatischen Einschränkungen sollte es eine einfache, nicht sch w ere, relativ stressfreie Arbeit sein ( Urk. 12/121/37).</w:t>
      </w:r>
    </w:p>
    <w:p>
      <w:r>
        <w:t>Aus somatischer Sicht sei eine sehr leichte, primär im Sitzen auszuübende Tätig keit ohne das Arbeiten in kniender und hockender Stellung, ohne das mehr als seltene Bewältigen von Treppen, ohne das Bewältigen von Leitern oder grösseren Gehstrecken oder das Gehen in unebenem Gelände, ohne das Arbeiten mit Rutsch- oder Absturzgefahr, ohne Zug-, Druck-, oder Vibrationseinwirkungen auf die rechte untere Extremität und ohne repetitive, stereotype Bewegungsabläufe im Bereich des rechten Fusses bzw. Sprunggelenkes geeignet . Im retrospektiven Längsschnitt sei aus somatischer Sicht von einer 100%igen Arbeitsfähigkeit behinderungsangepasst seit Abschluss der stationären Rehabilitation in der Z.___ Mitte Februar 2009 auszugehen ( Urk. 12/121/30).</w:t>
      </w:r>
    </w:p>
    <w:p>
      <w:r>
        <w:rPr>
          <w:b/>
        </w:rPr>
        <w:t>E. 3.2.1</w:t>
      </w:r>
    </w:p>
    <w:p>
      <w:r>
        <w:t>Im Gutachten vom 5. Dezember 2014 hielten die Ärzte des C.___</w:t>
      </w:r>
    </w:p>
    <w:p>
      <w:r>
        <w:t>folgende (gekürzt wiedergegebenen) Diagnosen mit Auswirkungen auf die Arbeitsfähigkeit fest ( Urk. 12/179/32 f.): - Rezidivierende depressive Störung, gegenwärtig mittelgradig (ICD-10 F33.1) - Posttraumatische OSG-Arthrose rechts und Arthrose zwischen Os naviculare und Os cuneiforme rechts bei Status nach offener subtalarer Luxationsfraktur rechts am 1 6. August 2003 mit Läsion der Arteria</w:t>
      </w:r>
    </w:p>
    <w:p>
      <w:r>
        <w:t>tibialis</w:t>
      </w:r>
    </w:p>
    <w:p>
      <w:r>
        <w:t>posterior und des Flexor hallucis</w:t>
      </w:r>
    </w:p>
    <w:p>
      <w:r>
        <w:t>longus mit operativer Versorgung am 1 7. August 2003</w:t>
      </w:r>
    </w:p>
    <w:p>
      <w:r>
        <w:t>Ohne Einfluss auf die Arbeitsfähigkeit diagnostizierten sie folgendes: - Muskuläre Dysbalance am Schultergürtel beidseits - Unspezifische Kreuzschmerzen - Verdacht auf beginnende Femoropatellararthrose links - Klinisch Gros s zehengrundgelenksarthrose rechts - Diabetes mellitus Typ 2, mässig gut eingestellt (HbA1c von 8.5 % ) - Adipositas Grad II (BMI von 39.2 kg/m 2 )</w:t>
      </w:r>
    </w:p>
    <w:p>
      <w:r>
        <w:t>Die Gutachter führten aus, dass der Kläger für die zuletzt ausgeübte Tätigkeit als Lastwagenchauffeur weiterhin nicht arbeitsfähig sei. Er habe seit dem Unfall vom 1 6. August 2003 nicht mehr gearbeitet und sei in diesem Beruf auch seither nicht mehr arbeitsfähig. Gemäss der Aktenlage habe die Suva im September 2008 den Abschluss datiert.</w:t>
      </w:r>
    </w:p>
    <w:p>
      <w:r>
        <w:t>In einer angepassten Verweistätigkeit unter Berücksichtigung der körperlichen Einschränkungen (körperlich leichte, vorwiegend sitzende Tätigkeit, bei der der Kläger das rechte Bein hochlagern könne und bei der er auch zwischenzeitlich aufstehen und etwas umhergehen könne</w:t>
      </w:r>
    </w:p>
    <w:p>
      <w:r>
        <w:t>[ Urk. 12/179/32]) sei er zu 50 % leistungsfähig. Hier sollte die Möglichkeit gegeben sein, innerhalb der maximal möglichen Präsenzzeit von 6 Stunden kurze Pausen einlegen zu können, zwischendurch den Fuss hochlagern zu können oder sich kurz zu bewegen, sodass es bei einer Tätigkeit von 6 Stunden täglich zu einer leichten Reduktion des Rendements komme ( Urk. 12/179/37).</w:t>
      </w:r>
    </w:p>
    <w:p>
      <w:r>
        <w:t>Die Arbeitsfähigkeit im zeitlichen Verlauf beurteilten die Gutachter dahingehend, dass der Kläger am 1 7. August 2003 eine offene subtalare Luxationsfraktur rechts erlitten habe, welche chirurgisch habe versorgt werden müssen. Es sei zu mehreren Folgeoperationen gekommen, in deren Rahmen er jeweils vorüber gehend vollumfänglich arbeitsunfähig gewesen sei. Die Suva habe am 1 0. September 2009 eine Rente durch Beeinträchtigung der Erwerbsfähigkeit von 10 % sowie eine Integritätsentschädigung von 30 % gesprochen. Gemäss IV-Vorbescheid vom 2 3. März 2012 und Beschluss vom 1 1. Juli 2012 sei dem Kläger eine halbe Invalidenrente ab dem 1. August 2004 zugesprochen worden, befristet bis zum 3 1. August 201 1. Eine 50%ige Arbeitsfähigkeit sei schon in der Begutachtung vom 1 8. Juli 2005 für zumutbar gehalten worden, der Kläger habe in dieser Zeit auch den Car-Führerschein absolviert. Da sich aus rheumatologisch-orthopädischer Sicht keine Änderung der Arbeitsfähigkeit seit 2008 ergeben habe und die Einschränkung der Arbeitsfähigkeit durch die psychiatrische Begutachtung von Dr. med. D.___ vom 2. Februar 2012 unverändert gezeigt habe, sei der Kläger über den 1. September 2011 hinaus weiterhin zu 50 % leistungs fähig einzuschätzen. Insbesondere könne der fast zeitgleich mit Dr. D.___ geäusserten Meinung der medas B.___ von einer nur 30%igen Einschränkung nicht gefolgt werden ( Urk. 12/179/38).</w:t>
      </w:r>
    </w:p>
    <w:p>
      <w:r>
        <w:rPr>
          <w:b/>
        </w:rPr>
        <w:t>E. 3.2.2</w:t>
      </w:r>
    </w:p>
    <w:p>
      <w:r>
        <w:t>Auf Rückfrage der IV-Stelle führten die Gutachter des C.___ mit Schreiben vom 3. März 2016 ergänzend aus ( Urk. 12/190/3 f.) , dass für den Zeitraum vom 1 6. August 2003 bis zum Beginn der ambulant-psychiatrischen Behandlung bei Dr. E.___ am 1 9. Mai 2005 psychiatrischerseits keine verlässliche Aussage zur Arbeitsfähigkeit getroffen werden könne. Aktenanamnestisch seien für diesen Zeitraum nur somatische Diagnosen - egal ob mit oder ohne Auswirkung auf die Arbeitsfähigkeit - dokumentiert. Einzig könnten die subjektiven Angaben des Klägers zur Beurteilung herangezogen werden, wobei diese eine Unterscheidung von körperlichen und psychischen Beschwerden und IV-fremden Faktoren kaum zuliessen. Der behandelnde Psychiater Dr. E.___ beurteile die Arbeitsfähigkeit angestammt mit 100 % arbeitsunfähig und attestiere eine 70%ige Arbeits unfähigkeit in einer Verweistätigkeit seit dem 1 6. August 200 3. Es sei fraglich, wie Dr. E.___ ab der Erstkonsultation des Klägers am 1 9. Mai 2005 bei diesem rückwirkend bis ins Jahr 2003 zweifelsfrei die Arbeitsfähigkeit psychiatrischerseits habe beurteilen können. Zudem bestünden Einschränkungen der Aussagekraft der Berichte, die im Medas -Gutachten kritisiert worden seien, so z.B. Vermischung von psychischen und somatischen Beschwerden und fehlende Angaben.</w:t>
      </w:r>
    </w:p>
    <w:p>
      <w:r>
        <w:t>Der Zeitraum vom 1 9. Mai 2005 bis zum psychiatrischen Gutachten in der F.___ im September 2009 sei aktenanamnestisch nur anhand der Berichte des behandelnden Psychiaters Dr. E.___ und des psychiatrischen Konsiliums bzw. Austrittsberichts der Z.___ zu beurteilen. Beide Einschätzungen seien so diskrepant, dass ein psychiatrisches Gutachten bei der F.___ in Auftrag gegeben worden sei. Dr. E.___ habe eine «aus psychiatrischer Sicht 60%ige Arbeitsunfähigkeit» festgestellt, die Z.___ habe hingegen aus psychiatrischer Sicht am 2 4. Februar 2009 nur eine «leichte bis mittelschwere Einschränkung der Zumutbarkeit» festgestellt.</w:t>
      </w:r>
    </w:p>
    <w:p>
      <w:r>
        <w:t>Das F.___ -Gutachten, das sowohl Vorberichte von Dr. E.___ als auch den Austritts bericht der Z.___ bezüglich der Beurteilung der Arbeitsfähigkeit berücksichtige, habe in einer Verweistätigkeit zum Zeitpunkt der damaligen Begutachtung eine 50%ige Arbeitsfähigkeit festgestellt. Dieser Einschätzung der Arbeitsfähigkeit sei aus f achgutachterlich-psychiatrischer Sicht auch für den Zeitraum der Begutachtung bei der F.___ bis zur Medas -Begutachtung zu folgen, auch wenn die Arztberichte von Dr. E.___ vom 3 1. August 2011 und 2 5. Januar</w:t>
      </w:r>
    </w:p>
    <w:p>
      <w:r>
        <w:t>2012 anders lautend seien. Diese Einschätzung dürfte vermutlich auch in angestammter Tätigkeit für diesen Zeitraum psychiatrischerseits gelten, wobei sie nicht auf das F.___ -Gutachten gestützt werden könne. Es bedeute gleichzeitig, dass für den Zeitraum vor dem F.___ -Gutachten ihrerseits keine Angaben zur Arbeits fähigkeit gemacht werden könnten. Die im F.___ -Gutachten empfohlene Kontrolle in sechs Monaten, «dann Steigerung auf Arbeitsfähigkeit 80 % möglich» , erachteten sie als reine Empf ehlung bezüglich der Steigerung der Arbeitsfähigkeit rein spekulativ. 4. 4.1</w:t>
      </w:r>
    </w:p>
    <w:p>
      <w:r>
        <w:t>Im v orliegenden Fall ist die medizinische Aktenlage sowie der Einkommens vergleich soweit unbestritten, dass der Kläger zwischen dem 1. August 2004 und dem 3 1. Januar 2005 (3 Monate nach der kreisärztlichen Untersuchung vom 1 5. Oktober 2004) einen Invaliditätsgrad von 77 % sowie vom 1. Dezember 2009 (3 Monate nach der Untersuchung vom 2 1. September 2009 in der F.___ ) bis zum 2 8. Februar 2012 (3 Monate nach der Begutachtung durch die medas B.___ ) einen Invaliditätsgrad von 54 % aufwies. Ebenfalls unbestritten und aufgrund der medizinischen Aktenlage ist überwiegend wahrscheinlich , dass der Invaliditätsgrad ab d em 1. März 2012 noch 36 % beträgt .</w:t>
      </w:r>
    </w:p>
    <w:p>
      <w:r>
        <w:t>Strittig bleibt hingegen, ob der sachliche und zeitliche Zusammenhang zwischen der während der Versicherungsdauer bei der Beklagten eingetretenen ursprünglich unfallbedingten Arbeitsunfähigkeit und der ab Dezember 2009 erneut aufgetreten en Invalidität noch gegeben ist und der Kläger entsprechend Anspruch auf eine Rente ab März 2014 für einen Invaliditätsgrad von 36 % hat . In casu kann eine entsprechende Prüfung - wie folgend gezeigt wird - hingegen unterbleiben: 4.2</w:t>
      </w:r>
    </w:p>
    <w:p>
      <w:r>
        <w:t>Massgebend bei der Festsetzung von Invalidenleistungen sind grundsätzlich die Reglementsbestimmungen , welche im Zeitpunkt der Entstehung des Leistungs anspruchs galten und nicht jene, die bei Beginn der Arbeitsunfähigkeit, welche die Invalidität nach sich zog, in Kraft waren (BGE 122 V 316 E. 3c, 121 V 97).</w:t>
      </w:r>
    </w:p>
    <w:p>
      <w:r>
        <w:t>Ab dem 2 1. September 2009 (U ntersuchung in der F.___ ) ist aufgrund der plausiblen und des Weiteren unbestrittenen medizinischen Aktenlage mit über wiegender Wahrscheinlichkeit von eine r Verschlechterung des Gesundheits zustandes auszugehen , welche einen Invaliditätsgrad von 54 % nach sich zog. Dies blieb auch seitens der Parteien unbestritten.</w:t>
      </w:r>
    </w:p>
    <w:p>
      <w:r>
        <w:t>Da gemäss Gutachten der C.___ für den Zeitraum vor der Untersuchung durch die F.___ keine Angaben gemacht werden können (vgl. E. 3.2.2), besteht Beweislosigkeit für den Eintritt einer Invalidität vor September 2009, weshalb der aktuelle strittige Rentenanspruch ab März 2014 dem Grundsatze nach mit dem Beweisgrad der überwiegenden Wahrscheinlichkeit nicht vor September 2009 entstand, womit entsprechend auch das in diesem Zeitpunkt geltende Reglement zur Beantwortung der strittigen Rentenfrage ab März 2014 für einen Invaliditätsgrad von 36 % heranzuziehen ist. 4. 3</w:t>
      </w:r>
    </w:p>
    <w:p>
      <w:r>
        <w:t>Im Vorsorgereglement Ausgabe 07.2009 (folgend: VSR 07.2009 , Urk. 27/1 ) sind Leistungen erst ab einem Invaliditätsgrad von 40 % vorgesehen ( Art. 4.3 VSR 07.2009; vgl. auch Übergangsbestimmungen, Art. 6.9.2 VSR 07.2009 ; vgl. auch Vor sor gereglement Ausgabe 01.2010, Art. 4.3 VSR, Urk. 27/2 ). Damit besteht kein überobligatorischer Anspruch des Klägers auf eine Rente ab März 2014 für einen Invaliditätsgrad von 36 % . Ob der sachliche und zeitliche Zusammenhang zwischen dem Eintritt der Arbeitsunfähigkeit während des Versicherungs verhältnisses bei der Beklagten und der später eingetretenen Invalidität entsprechend zu bejahen oder zu verneinen ist, kann damit offen bleiben . 4.4</w:t>
      </w:r>
    </w:p>
    <w:p>
      <w:r>
        <w:t>Zusammenfassend besteht kein Anspruch auf eine Invalidenrente ab März 2014, womit die Klage vollumfänglich abzuweisen ist. Das Gericht erkennt: 1.</w:t>
      </w:r>
    </w:p>
    <w:p>
      <w:r>
        <w:t>Die Klage wird abgewiesen. 2.</w:t>
      </w:r>
    </w:p>
    <w:p>
      <w:r>
        <w:t>Das Verfahren ist kostenlos. 3.</w:t>
      </w:r>
    </w:p>
    <w:p>
      <w:r>
        <w:t>Zustellung gegen Empfangsschein an: - Rechtsanwalt Simon Lichtensteiger - Allianz Suisse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 einrichtung beziehungsweise das Berufsvorsorgegericht zur Folge (Urteil des Bundesgerichts 9C_49/2010 vom 2 3. Februar 2010 E. 2.1). Diese Bindungswirkung setzt voraus, dass die Vorsorgeeinrichtung (spätestens) ins Vorbescheidverfahren ( a Art . 73 bis IVV; seit 1. Juli 2006: Art. 73 ter IVV) einbezogen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3.</w:t>
      </w:r>
    </w:p>
    <w:p>
      <w:r>
        <w:t>Die IV-Stelle konstatierte in der Verfügung vom 1 6. März 2017 ( Urk. 12/208; Verfügungsteil 2, Urk. 12/202) , dass für den Zeitraum ab der Untersuchung durch die medas B.___ am 1 6. November 2011 dem Urteil des Verwaltungs gerichtes des Kantons Thurgau folgend auf dieses Gutachten abzustellen sei. Davor sei auf das C.___ -Gutachten vom 5. Dezember 2014 bzw. die ergänzende Stellungnahme vom 3. März 2016 ( Urk. 12/190)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