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BV.2019.00007 vom 13. März 2020</w:t>
      </w:r>
    </w:p>
    <w:p>
      <w:r>
        <w:t>ZH Sozialversicherungsgericht, 2020-03-13, DE</w:t>
      </w:r>
    </w:p>
    <w:p>
      <w:r>
        <w:rPr>
          <w:b/>
        </w:rPr>
        <w:t xml:space="preserve">Quelle: </w:t>
      </w:r>
      <w:r>
        <w:t>https://mcp.opencaselaw.ch/entscheid/zh_sozialversicherungsgericht_BV.2019.00007</w:t>
      </w:r>
    </w:p>
    <w:p>
      <w:r>
        <w:t>FR: ZH_SOZIALVERSICHERUNGSGERICHT BV.2019.00007 du 13 mars 2020</w:t>
      </w:r>
    </w:p>
    <w:p>
      <w:r>
        <w:t>IT: ZH_SOZIALVERSICHERUNGSGERICHT BV.2019.00007 del 13 marzo 2020</w:t>
      </w:r>
    </w:p>
    <w:p>
      <w:pPr>
        <w:pStyle w:val="Heading2"/>
      </w:pPr>
      <w:r>
        <w:t>Erwägungen</w:t>
      </w:r>
    </w:p>
    <w:p>
      <w:r>
        <w:rPr>
          <w:b/>
        </w:rPr>
        <w:t>E. 1</w:t>
      </w:r>
    </w:p>
    <w:p>
      <w:r>
        <w:t>S. 3 und Urk. 13/14 S. 2). Seit 1. April 2010 war sie für ein en Beschäftigungsgrad von 30 % bei der Pen sionskasse Y.___ berufsvorsorgeversichert ; zuvor erfolgte aufgrund des zu kleinen Arbeitspensums noch keine Aufnahme (Urk. 8/1 und Urk. 10 S. 2). Per 3 1. Juli 2012 erfolgte die Auflösung des Arbeitsverhältnisses ( Urk. 8/20) und der Austritt aus der Vorsorgeeinrichtung ( Urk. 8/23).</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 spruchs auf Invalidenleistungen sinngemäss die entsprechenden Bestimmungen des Bundesgesetzes über die Invalidenversicherung (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 sondern mit dem Eintritt der Arbeitsunfähigkeit zusammen, deren Ursache zur Invalidität ge 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 täts risiko auch dann gedeckt sein, wenn es rechtlich gesehen erst nach einer langen Krankheit eintritt, während welcher die Person unter Umständen aus dem Arbeits verhältnis ausgeschieden ist und daher nicht mehr dem Obligatorium unter standen hat (BGE 123 V 262 E. 1b, 121 V 97 E. 2a, 120 V 112 E. 2b, je mit Hinweisen).</w:t>
      </w:r>
    </w:p>
    <w:p>
      <w:r>
        <w:rPr>
          <w:b/>
        </w:rPr>
        <w:t>E. 1.2</w:t>
      </w:r>
    </w:p>
    <w:p>
      <w:r>
        <w:t>Nach Art. 23 BVG versichertes Ereignis ist einzig der Eintritt der relevanten Arbeitsunfähigkeit, unabhängig davon, in welchem Zeitpunkt und in welchem Masse daraus ein Anspruch auf Invalidenleistungen entsteht. Die Versicher 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 heit aus dem Arbeitsverhältnis ausscheiden und erst später invalid werden. Für eine einmal aus während der Versicherungsdauer aufgetre tene</w:t>
      </w:r>
    </w:p>
    <w:p>
      <w:r>
        <w:t>– Arbeits 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w:t>
      </w:r>
    </w:p>
    <w:p>
      <w:r>
        <w:rPr>
          <w:b/>
        </w:rPr>
        <w:t>E. 1.3</w:t>
      </w:r>
    </w:p>
    <w:p>
      <w:r>
        <w:t>Art. 23 BVG kommt auch die Funktion zu, die Haftung mehrerer Vorsorge ein richtungen gegeneinander abzugrenzen, wenn eine in ihrer Arbeitsfähigkeit be reits beeinträchtigte versicherte Person ihre Arbeitsstelle (und damit auch die Vorsorgeeinrichtung) wechselt und ihr später eine Rente der Invaliden 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 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120 V 112 E. 2c/aa und 2c/bb mit Hinweisen).</w:t>
      </w:r>
    </w:p>
    <w:p>
      <w:r>
        <w:rPr>
          <w:b/>
        </w:rPr>
        <w:t>E. 1.4</w:t>
      </w:r>
    </w:p>
    <w:p>
      <w:r>
        <w:t>Die Arbeitsunfähigkeit ist relevant, wenn sie mindestens 20</w:t>
      </w:r>
    </w:p>
    <w:p>
      <w:r>
        <w:t>%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 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hievor ), zumal auch im Vorsorgereglement der Beklag ten der Invaliditäts begriff und das versicherte Risiko nicht abweichend von der Invaliden versiche rung definiert werden ( vgl. insbesondere Art. 39 f. Vorsorgereglement 2012 [ Urk. 8/83 ] , siehe auch Urk.</w:t>
      </w:r>
    </w:p>
    <w:p>
      <w:r>
        <w:rPr>
          <w:b/>
        </w:rPr>
        <w:t>E. 1.6</w:t>
      </w:r>
    </w:p>
    <w:p>
      <w:r>
        <w:t>Auf dem Gebiet der weitergehenden beruflichen Vorsorge gilt die Bindung an die Rentenverfügung der Invalidenversicherung , soweit das einschlägige Vorsorge regle ment ausdrücklich oder unter Hinweis auf das Gesetz vom selben Invalidi tätsbegriff ausgeht (Urteil des Bundesgerichts 9C_435/2019 vom 17. Oktober 2019 E. 2 mit weiterem Hinweis).</w:t>
      </w:r>
    </w:p>
    <w:p>
      <w:r>
        <w:rPr>
          <w:b/>
        </w:rPr>
        <w:t>E. 1.7</w:t>
      </w:r>
    </w:p>
    <w:p>
      <w:r>
        <w:t>Die Annahme einer offensichtlichen Unhaltbarkeit der Feststellungen der Inva lidenversicherung ist rechtsprechungsgemäss an strenge Voraussetzungen ge kn 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Gerechtig keitsgedanken zuwiderläuft; dabei ist erforderlich, dass der Entscheid nicht nur in der Begründung, sondern auch im Ergebnis willkürlich ist. Willkürlich ist ein Entscheid jedoch nicht schon dann, wenn eine andere Lösung ebenfalls als</w:t>
      </w:r>
    </w:p>
    <w:p>
      <w:r>
        <w:t>vertretbar oder gar zutreffender erscheint (Urteil des Bundesgerichts 9C_30 /2014</w:t>
      </w:r>
    </w:p>
    <w:p>
      <w:r>
        <w:t>vom 6. Mai 2014 E. 2.3 mit Hinweis auf BGE 140 III 16 E. 2.1; Hürzeler, BVG und FZG – Bundesgesetz über die berufliche Alters-, Hinterlassenen- und Invali den ver sicherung sowie über die Freizügigkeit in der beruflichen Alters-, Hinterlassenen- und Invalidenversicherung, Bern 2010, Art. 23 N 14; Hürzeler, Invaliditäts prob lematiken in der beruflichen Vorsorge, Basel 2006, S. 202 f. und Moser, Die berufsvorsorgerechtliche Bindungswirkung von IV-Entscheiden: „Ruhekissen“</w:t>
      </w:r>
    </w:p>
    <w:p>
      <w:r>
        <w:t>oder „Pro krustes bett“?, in: AJP 2002 S. 927). 2.</w:t>
      </w:r>
    </w:p>
    <w:p>
      <w:r>
        <w:t>2.1</w:t>
      </w:r>
    </w:p>
    <w:p>
      <w:r>
        <w:t>Die Klägerin führte zur Klagebegründung aus, der zeitliche und sachliche Zu sammenhang sei gegeben. Die Beklagte sei gehörig in die IV-Verfahren ein ge bunden gewesen. Es liege kein Fall einer verspäteten Anmeldung vor und der Entscheid der IV-Stelle sei auch nicht offensichtlich unrichtig. Die von der Ver waltung festgestellte Invalidität und Arbeitsunfähigkeit von 100 % seit Januar 2012 sei daher für die Beklagte verbindlich, weshalb sie zur Leistung zu ver pflichten sei ( Urk. 1 S. 7). Aus den Akten gehe sodann nicht hervor, dass vor der Anstellung bei der Z.___ eine iv-relevante Arbeitsunfähigkeit vorhanden gewesen sei. Diesbezüglich relevante Arbeitsunfähigkeiten während der Anstellung bei der Z.___ seien hingegen beleg- und nachvollziehbar ( Urk. 15 S. 2). 2.2</w:t>
      </w:r>
    </w:p>
    <w:p>
      <w:r>
        <w:t>Die Beklagte begründete die Leistungsverweigerung damit, die IV-Stelle habe in der Verfügung vom 4. Januar 2018 festgestellt, dass eine invaliditätsrelevante Arbeitsunfähigkeit lange vor Eintritt in die Pensionskasse eingetreten sei. Dass bereits seit längerer Zeit eine Einschränkung der Arbeitsfähigkeit bestehe, würden auch das von der IV-Stelle in Auftrag gegebene Gutachten vom Januar 2017 wie auch die IK-Auszüge bestätigen . Aus der Erwerbsbiographie sei sodann ersicht lich, dass die Klägerin bereits seit Jahren nicht oder nur in einem kleinen Pensum eine Arbeitslei s tung zu erbringen vermocht habe. Auch bei der Z.___ sei sie nur in einem Pensum von circa 30 % im Durchschnitt tätig gewesen. Damit sei fest zustellen, dass der zeitliche und sachliche Zusammenhang zwischen den vorbe stehenden, erheblichen Einschränkungen und der heutigen Invalidität bereits bei Eintritt in die Pensionskasse bestanden habe und auch während der Dauer des Vorsorgeverhältnisses nicht unterbrochen worden sei. Es bestehe damit kein An spruch auf Invalidenleistungen ( Urk.</w:t>
      </w:r>
    </w:p>
    <w:p>
      <w:r>
        <w:rPr>
          <w:b/>
        </w:rPr>
        <w:t>E. 3</w:t>
      </w:r>
    </w:p>
    <w:p>
      <w:r>
        <w:t>BVG e contrario; BGE 123 V 262 E. 1a, 118 V 35 E. 5).</w:t>
      </w:r>
    </w:p>
    <w:p>
      <w:r>
        <w:rPr>
          <w:b/>
        </w:rPr>
        <w:t>E. 3.25</w:t>
      </w:r>
    </w:p>
    <w:p>
      <w:r>
        <w:t>Stunden für die Replik als überhöht.</w:t>
      </w:r>
    </w:p>
    <w:p>
      <w:r>
        <w:t>Gleiches gilt für die je geltend gemachten 15 Minuten für das Studium der (Standard)Ge richts ver fügungen vom 2 9. Januar 2019 und 1 4. März 2019 .</w:t>
      </w:r>
    </w:p>
    <w:p>
      <w:r>
        <w:t>Angesichts der Anzahl der zu studierenden Aktenstücke der Beklagten wie auch der IV-Akten, der etwa 7 - und 1 .5 - seitigen Rechtssch riften, des</w:t>
      </w:r>
    </w:p>
    <w:p>
      <w:r>
        <w:t>nach dem 29. März 2019 zusätzlich angefallenen Aufwands sowie der in ähnlichen Fällen zugesprochenen Beträgen ist di e Prozessentschädigung</w:t>
      </w:r>
    </w:p>
    <w:p>
      <w:r>
        <w:t>bei Anwendung des ge richtsüblichen Stundenansatzes von Fr. 220.-- (zuzüglich Mehrwertsteuer) auf Fr. 3' 5 00.-- (inklusive Barauslagen und Mehrwertsteuer ) festzusetzen, welche von der Beklagten zu entrichten ist.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 BGE 126 V 309 E. 1 in fine). Diese Konzeption fusst auf der Überlegung, die O rgane der (obligatorischen) beruflichen Vorsorge von eigenen aufwändigen Abklä rung 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w:t>
      </w:r>
    </w:p>
    <w:p>
      <w:r>
        <w:t>Diese Bindungswirkung setzt voraus, dass die Vorsorgeeinrichtung (spätestens) ins Vorbescheidverfahren (a Art. 73 bis</w:t>
      </w:r>
    </w:p>
    <w:p>
      <w:r>
        <w:t>IVV ; seit 1. Juli 2006: Art. 73 ter IVV) ein be zogen und ihr die Rentenverfügung formgültig eröffnet wurde (Urteil des Bundes gerichts 9C_81/2010 vom 1 6. Juni 2010 E. 3.1, mit Hinweisen). Dem BVG-Ver 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w:t>
      </w:r>
    </w:p>
    <w:p>
      <w:r>
        <w:rPr>
          <w:b/>
        </w:rPr>
        <w:t>E. 6.1</w:t>
      </w:r>
    </w:p>
    <w:p>
      <w:r>
        <w:t>Ausgangsgemäss ist die Beklagte gestützt auf § 34 Abs. 1 und 3 des Gesetzes über das Sozialversicherungsgericht (GSVGer) zu verpflichten, der anwaltlich vertre tenen Klägerin eine Prozessentschädigung zu entrichten. Die Rechtsvertreterin der Klägerin reichte sowohl am 2 9. März 2019 ( Urk. 16) wie auch am 1 0. Oktober 2019 ( Urk. 21) eine Kostennote ein. Erstere umfasst Leistungen vom 2 0. Septem ber 2018 bis 2 9. März 2019 und weist einen Betrag über Fr. 5'546.55 aus; Letztere enthält Leistungen vom 1 5. März 2017 bis 10. Oktober 2019 und lautet auf Fr. 3'692.6 5. Im beide Kostennoten übereinstimmenden Zeitrahmen – d.h. vom 2 0. September 2018 bis 2 9. März 2019 – finden sich sodann keine datums gleichen, gleichlautenden Leistungen. Angesichts dessen, dass die Klage am 2 4. Januar 2019 eingereicht wurde, rechtfertigt es sich, die Kostennote vom 2 9. März 2019 ( Urk. 16) genauer zu prüfen und – soweit nötig – die zusätzlich bis am 1 0. Oktober 2019 angefallenen Leistungen hinzuzurechnen.</w:t>
      </w:r>
    </w:p>
    <w:p>
      <w:r>
        <w:t>Der d a rin geltend gemachte Aufwand von 16.67 Stunden und Fr. 150. -- Bar auslagen ist der Bedeutung der Streitsache und der Schwierigkeit des Prozesses nicht angemessen . Namentlich erscheint ein Aufwand von 8.25</w:t>
      </w:r>
    </w:p>
    <w:p>
      <w:r>
        <w:t>Stunden für die Klage schrift samt nicht separat ausgewiesenen Aufwendungen für Briefe und Telefonate und von</w:t>
      </w:r>
    </w:p>
    <w:p>
      <w:r>
        <w:rPr>
          <w:b/>
        </w:rPr>
        <w:t>E. 6.2</w:t>
      </w:r>
    </w:p>
    <w:p>
      <w:r>
        <w:t>Bei diesem Ausgang des Verfahrens und da dieses kostenlos ist, erweist sich das gestellte Gesuch um Gewährung der unentgeltlichen Rechtspflege ( Urk. 1 S. 2) als obsolet. Das Gericht erkennt: 1.</w:t>
      </w:r>
    </w:p>
    <w:p>
      <w:r>
        <w:t>In Gutheissung der Klage wird die Beklagte verpflichtet, der Klägerin ab 1. Oktober 2012 die gesetzlichen und reglementarischen Leistungen bei Invalidität auszurichten, zuzüg lich Verzugszins von 5 % für die bis am 2 4. Januar 2019 fällig gewordenen Betreffnisse ab diesem Zeitpunkt und für die restlichen ab dem jeweiligen Fälligkeitsdatum. 2.</w:t>
      </w:r>
    </w:p>
    <w:p>
      <w:r>
        <w:t>Das Verfahren ist kostenlos. 3.</w:t>
      </w:r>
    </w:p>
    <w:p>
      <w:r>
        <w:t>Die Beklagte wird verpflichtet, der Klägerin eine Prozessentschädigung von Fr. 3’500 .-- (inkl. Barauslagen und MWSt) zu bezahlen. 4.</w:t>
      </w:r>
    </w:p>
    <w:p>
      <w:r>
        <w:t>Zustellung gegen Empfangsschein an: - Rechtsanwältin Nadja Hirzel - Pensionskasse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r>
        <w:rPr>
          <w:b/>
        </w:rPr>
        <w:t>E. 10</w:t>
      </w:r>
    </w:p>
    <w:p>
      <w:r>
        <w:t>S. 4), dass die IV-Stelle von einer bei der Klägerin seit der Jugend bestehenden gesundheitlichen Beein trächtigung ausging. Zwar kann gestützt darauf nicht ausgeschlossen werden, dass die psychischen Beschwerden die Arbeitsfähigkeit der Klägerin bereits vor der Versicherungsdauer bei der Beklagten in relevantem Ausmass einschränkten . Hinsichtlich des Eintritts der berufsvorsorgerechtlich relevanten Arbeitsunfähig keit darf indes nicht auf einen klaren Nachweis verzichtet werden. Er darf ins besondere nicht durch spekulative Annahmen und Überlegungen ersetzt werden. Auch in der Aussage des Gutachters, wonach deutliche Hinweise für eine früh entwickelte Bindungsstörung b ei der Klägerin bestünden (Urk. 13/157 S. 22), ist kein rechtsgenüglicher Nachweis zu sehen. In diesem Zusammenhang ist zudem in Erinnerung zu rufen, dass es für eine offensichtliche Unhaltbarkeit des Ent scheids der IV-Stelle nicht genügt, wenn eine andere Lösung – auch der Eintritt der massgeblichen Arbeitsunfähigkeit zu einem früheren, so zum Beispiel im frühen Erwachsenenalter liegenden Zeitpunkt – ebenfalls als vertretbar oder sogar zutreffender erscheint.</w:t>
      </w:r>
    </w:p>
    <w:p>
      <w:r>
        <w:t>Was die Annahme des Experten Dr. A.___ , wonach bei der Klägerin mit min destens erhöhter Wahrscheinlichkeit ein limitierender Einfluss auf die Ausbil dungs- und Arbeitsfähigkeit seit Störungsbeginn in der Kindheit/Jugendzeit an genommen werden müsse ( Urk. 13/157 S. 26), betrifft, ist darauf hinzuweisen, dass der Überprüfung</w:t>
      </w:r>
    </w:p>
    <w:p>
      <w:r>
        <w:t>der Feststellungen der Invalidenversicherung nicht das Be weismass der überwiegenden Wahrsc heinlichkeit zugrunde zu legen ist, sondern es bedarf – zur Abweichung – einer offensichtlichen Unhaltbarkeit. Zudem ist es jedenfalls nicht abwegig, dass eine berufsvorsorgerechtlich massgebliche Arbeits unfähigkeit der Klägerin erst während der Versicherungszeit bei der Beklagten eingetreten ist. Eine solche Annahme steht sodann mit der tatsächlichen Situation nicht in klarem Widerspruch und verletzt auch weder eine Norm oder einen unumstrittenen Rechtsgrundsatz krass noch läuft sie in stossender Weise dem Gerechtigkeitsgedanken zuwider. Geradezu willkürlich ist diese Annahme nicht (vgl. E. 1.7 hievor), weshalb sie nicht korrigiert werden kann. 4.4</w:t>
      </w:r>
    </w:p>
    <w:p>
      <w:r>
        <w:t>Nach dem Gesagten ist die Zusprache einer ganzen Rente vom 1. Oktober 2012 bis 3 0. April 2013 sowie mit Wirkung ab Oktober 2013 durch die IV-Stelle jeden falls nicht unhaltbar. 5. 5.1</w:t>
      </w:r>
    </w:p>
    <w:p>
      <w:r>
        <w:t>Da seitens der Klägerin kein beziffertes Klagebegehren vorliegt, ist die Klage gemäss ständiger Praxis in dem Sinne gutzuheissen, dass die Beklagte zu ver pflichten ist, der Klägerin ab 1. Oktober 2012 die gesetzlichen und reglemen tarischen Leistungen</w:t>
      </w:r>
    </w:p>
    <w:p>
      <w:r>
        <w:t>auszurichten .</w:t>
      </w:r>
    </w:p>
    <w:p>
      <w:r>
        <w:t>Die genaue ziffernmässige Berechnung der einzelnen Rentenbetreffnisse ist der Beklagten zu überlassen; in einem allfällig diesbezüglich sich ergebenden Streit fall stünde der Klägerin erneut der Klageweg offen (vgl. BGE 129 V 450). 5.2</w:t>
      </w:r>
    </w:p>
    <w:p>
      <w:r>
        <w:t>Auf Invalidenleistungen sind Verzugszinsen geschuldet, wobei grundsätzlich Art. 105 Abs. 1 des Obligationenrechts anwendbar ist . Danach ist der Verzugszins vom Tag der Anhebung der Betreibung oder der gerichtlichen Klage an geschul det. Der Zinssatz beträgt 5 % , sofern das Reglement der Vorsorgeeinrichtung keine andere Regelung kennt (BGE 119 V 131 E. 4 und E. 4c). Der Klägerin sind folglich für die bis zur Klageerhebung am 2 4. Januar 2019 ( Urk. 1) fällig gewor denen Rentenbetreffnisse ab diesem Zeitpunkt und für die weiteren Renten leis tungen ab deren jeweiligem Fälligkeitsdatum – angesichts des Fehlens einer ab weichenden reglementarischen Bestimmung – Verzugszinsen von 5 % zuzu sprech 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