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BV.2018.00098 vom 5. Juni 2020</w:t>
      </w:r>
    </w:p>
    <w:p>
      <w:r>
        <w:t>ZH Sozialversicherungsgericht, 2020-06-05, DE</w:t>
      </w:r>
    </w:p>
    <w:p>
      <w:r>
        <w:rPr>
          <w:b/>
        </w:rPr>
        <w:t xml:space="preserve">Quelle: </w:t>
      </w:r>
      <w:r>
        <w:t>https://mcp.opencaselaw.ch/entscheid/zh_sozialversicherungsgericht_BV.2018.00098</w:t>
      </w:r>
    </w:p>
    <w:p>
      <w:r>
        <w:t>FR: ZH_SOZIALVERSICHERUNGSGERICHT BV.2018.00098 du 5 juin 2020</w:t>
      </w:r>
    </w:p>
    <w:p>
      <w:r>
        <w:t>IT: ZH_SOZIALVERSICHERUNGSGERICHT BV.2018.00098 del 5 giugno 2020</w:t>
      </w:r>
    </w:p>
    <w:p>
      <w:pPr>
        <w:pStyle w:val="Heading2"/>
      </w:pPr>
      <w:r>
        <w:t>Erwägungen</w:t>
      </w:r>
    </w:p>
    <w:p>
      <w:r>
        <w:rPr>
          <w:b/>
        </w:rPr>
        <w:t>E. 1.1</w:t>
      </w:r>
    </w:p>
    <w:p>
      <w:r>
        <w:t>Der Schweizerische Baumeisterverband (SBV) auf der einen , die Gewerkschaft Bau &amp; Industrie GBI (heute: Unia ) sowie die Gewerkschaft SYNA auf der anderen Seite schlossen am 1 2. November 2002 einen Gesamtarbeitsvertrag für den flexiblen Altersrücktritt im Bauhauptgewerbe (GAV FAR), mit dessen Vollzug die Stiftung für den flexiblen Altersrücktritt im Bauhauptgewerbe (Stiftung FAR) betraut ist. Durch Beschluss des Bundesrates (BRB) vom 5. Juni 2003 ( BBl 2003 4039 )</w:t>
      </w:r>
    </w:p>
    <w:p>
      <w:r>
        <w:t>wurde der GAV FAR teilwei se allgemeinverbindlich erklärt. Die Allgemein verbindlicherklärung</w:t>
      </w:r>
    </w:p>
    <w:p>
      <w:r>
        <w:t>(AVE) wurde</w:t>
      </w:r>
    </w:p>
    <w:p>
      <w:r>
        <w:t>mit Beschlüsse n vom 8. August 2006 ( BBl 2006 6751) , 2 6. Oktober 2006 ( BBl 2006 8865) , 1. November 2007 ( BBl 2007 7881) , 6. Dezember 2012 ( BBl 2012 9763) , 1 0. November 2015 ( BBl 2015 8307) , 1 4. Juni 2016 ( BBl 2016 5033) , 7. August 2017 ( BBl 2017 5823 ) und 2 9. Januar 2019 ( BBl 2019 1891; vgl. auch vgl. Urk. 2/5, Urk. 10/3) verlängert bzw. ange passt .</w:t>
      </w:r>
    </w:p>
    <w:p>
      <w:r>
        <w:t>Bei der Stiftung FAR handelt es sich um eine nicht registrierte Vorsorgeeinrich tung im Sinne von Art. 80 ff. des Bundesgesetzes über die berufliche Alters-, Hinterlassenen- und Invalidenv orsorge ( BVG ) . Sie wurde am 1 5. Mai 2003 im Handelsregister d es Kantons Zürich eingetragen und bezweckt die Durchführung des zwischen den Stifterverbänden gesamtarbeitsvertraglich vereinbarten freiwil ligen Altersrücktritts für Arbeitnehmende im Bau hauptgewerbe (vgl. Urk. 2/3). Sie richtet nach Massgabe der reglementarischen Bestimmungen ausschliesslich folgende Leistungen aus: Überbrückungsrenten während höchstens fünf Jahren vor dem ordentlichen AHV-Alter, frühestens ab Beginn des Alters 60 bei freiwil ligem Rücktritt aus dem Erwerbsleben sowie Leistungen an die Hinterlassenen eines Bezügers einer Überbrückungsrente bis zum Erreichen des ordentlichen Rücktrittsalters gemäss AHV, die Erstattung von AHV-Beiträgen sowie die Über nahme der Beiträge für die Altersgutschriften BVG an Bezüger von Überbrü ckungsrenten, Ersatzleistungen in Härtefällen an Personen zwischen 50 und 60 Jahren, die definitiv und unfreiwillig aus dem Baugewerbe ausscheiden. Im Weiteren vertritt die Stiftung die Stifterverbände bei der gesamtarbeitsvertraglich vorgesehenen "gemeinsamen Durchfüh rung" im Sinne von Art. 357b des Obliga tionenrechts</w:t>
      </w:r>
    </w:p>
    <w:p>
      <w:r>
        <w:t>( OR; vgl. Handelsregisterauszug, einsehbar über zh.chregister.ch ).</w:t>
      </w:r>
    </w:p>
    <w:p>
      <w:r>
        <w:rPr>
          <w:b/>
        </w:rPr>
        <w:t>E. 1.2</w:t>
      </w:r>
    </w:p>
    <w:p>
      <w:r>
        <w:t>Die im Juni 1982 gegründete X.___ AG bezweckt u.a. die Ausführung sämtlicher Arbeiten im Zusammenhang mit Garten- und Landschaftsbau . Vorübergehend (gemäss Handelsregistereintrag vom</w:t>
      </w:r>
    </w:p>
    <w:p>
      <w:r>
        <w:rPr>
          <w:b/>
        </w:rPr>
        <w:t>E. 1.3</w:t>
      </w:r>
    </w:p>
    <w:p>
      <w:r>
        <w:t>Nach längerer Auseinandersetzung und einem ersten wiedererwogenen Unterstel lungsentscheid vom 8. Juli 2014 für den gesamten Betrieb ( Urk. 2/7) hielt der Ausschuss «Rekurse» des Stiftungsrates FAR am 5. Juli 2017 daran fest , dass die X.___ AG teilweise, nämlich mit dem Betriebsteil Erdsondenbohrun gen , ab dem 1. Juli 2003 dem GAV FAR unterstehe und demzufolge b eitrags pflichtig sei. Die FAR-Beiträge für die Zeit vom 1. Juli 2003 bis zum 3 0. Juni 2009 würden infolge Verjährung nicht mehr eingefordert. Hinsichtlich der Bei träge ersuchte der Ausschuss um Lohnsummenmeldungen und Lohnbescheini gungen der betroffenen Mitarbeiter ab 1. Juli 2009 ( Urk. 2/23). Diesem Ansinnen kam die X.___ AG sich auf den Standpunkt stellend, auch nicht mit einem Betriebsteil Erdsondenbohrungen dem GAV FAR unterste llt zu sein, nicht nach ( Urk. 9 Ziffer 45 ).</w:t>
      </w:r>
    </w:p>
    <w:p>
      <w:r>
        <w:rPr>
          <w:b/>
        </w:rPr>
        <w:t>E. 2</w:t>
      </w:r>
    </w:p>
    <w:p>
      <w:r>
        <w:t>Am 17. Dezember 2018 (eingegangen am 1 9. Dezember 2018) reichte die Stiftung FAR gegen die X.___ AG Klage ein mit folgendem Rechtsbegehren (Urk. 1 S. 2): «1.</w:t>
      </w:r>
    </w:p>
    <w:p>
      <w:r>
        <w:t>Die Beklagte sei zu verpflichten, der Klägerin für den Betriebsteil « Endson denbohrungen » die folgenden FAR- Beiträge zu zahlen: - 5.3 % der noch zu beziffernden AHV-pflichtigen Lohnsumme vom 1. Juli 2009 bis 31. Dezember 2010 und vom 1. Januar 2011 bis 3 1. Dezember 2011 aller Mitarbeiter, soweit diese im genannten Zeitraum unter den</w:t>
      </w:r>
    </w:p>
    <w:p>
      <w:r>
        <w:t>persönlichen Anwendungsbereich des BRB AVE GAV FAR gefallen sind , nebst 5 % Zins ab dem auf den Ablauf des jeweiligen Abrechnu ngs jahres folgenden 1. Januars; - 5 % der noch zu beziffernden AHV-pflichti gen Lohnsumme vom 1. Januar 2012 bis 31. Dezember 2012 , 1. Januar 2013 bis 31. Dezember 2013 , 1. Januar 2014 bis 31. Dezember 2014, 1. Januar 2015 bis</w:t>
      </w:r>
    </w:p>
    <w:p>
      <w:r>
        <w:rPr>
          <w:b/>
        </w:rPr>
        <w:t>E. 2.1</w:t>
      </w:r>
    </w:p>
    <w:p>
      <w:r>
        <w:t>Die Parteien gehen übereinstimmend davon aus, dass die Beklagte nicht Mitglied eines der am GAV beteiligten Arbeitgeberverbandes ist. Sie ist nach unwiderspro chenen Vorbringen ( Urk. 9 Ziffer 20; Urk.</w:t>
      </w:r>
    </w:p>
    <w:p>
      <w:r>
        <w:rPr>
          <w:b/>
        </w:rPr>
        <w:t>E. 2.2.1</w:t>
      </w:r>
    </w:p>
    <w:p>
      <w:r>
        <w:t>Die Beklagte bezweckt gemäss Handelsregistereintrag u.a. die Ausführung sämt licher Arbeiten im Zusammenhang mit Garten- und Landschaftsbau, so nament lich die Ausführung privater oder öffentlicher Park- und Gartenanlagen, Sied lungs - und Grünanlagen, Dach- und Terrassengärten, Gartenumgestaltungen und Gartenarchitektur, Planung und Projektierung, Gartenunterhaltsarbeiten, Baum schulen, Staudenkulturen, Gärtnerarbeiten, Sportplatzbauten, Swimmingpools, Industriepflanzungen, Pferdesportanlagen, Spezialbeläge, maschinelle Erdarbei ten und (gemäss Handelsregistereintrag vom 2 7. November 2014, so eingetragen bis 1 2. November 2019) Erdwärmesonden, Erdsondenbohrungen ; ausserdem die Ausführung Multikomponentendeponien und Spezialarbeiten im Zusammenhang mit alternativer Energiegewinnung.</w:t>
      </w:r>
    </w:p>
    <w:p>
      <w:r>
        <w:rPr>
          <w:b/>
        </w:rPr>
        <w:t>E. 2.2.2</w:t>
      </w:r>
    </w:p>
    <w:p>
      <w:r>
        <w:t>Die Beklagte beschäf tigt nach eigenen unbestritten gebliebenen Angaben 129 Mitarbeiter (ohne leitendes und kaufmännisches Personal) zu 12'900 Stellenpro zenten und generiert einen Umsatz von 75 Mio .</w:t>
      </w:r>
    </w:p>
    <w:p>
      <w:r>
        <w:t>Fr. ( Urk. 9 Ziffern 50 und 55). Ab August 2009 bis Ende 2018 sei sie auch im Bereich Erdsondenbohrungen tätig gewesen, hierauf seien lediglich 500 Stellenprozent entfallen (vgl. Urk. 10/22). Ihre Arbeitnehmer seien grösstenteils Allrounder. Auch die Mitarbeiter des Bereichs Erdsondenbohrungen seien bei zu wenig Arbeit immer wieder im Gar tenbau oder als Chauffeure eingesetzt worden und hätten nicht ausschliesslich für diesen Bereich gearbeitet.</w:t>
      </w:r>
    </w:p>
    <w:p>
      <w:r>
        <w:t>Drei dieser Mitarbeiter seien auch nach Aufgabe des Angebots Erdsondenbohrungen weiterbeschäftigt worden. Der Umsatz habe rund 1,9 Mio. Fr. betragen. Die Dienstleistung sei in Ergänzung der Landschafts- und Gartenbauaufträge der Beklagten an deren Kunden erfolgt ( Urk. 9 Ziffern 51, 55 und 70).</w:t>
      </w:r>
    </w:p>
    <w:p>
      <w:r>
        <w:rPr>
          <w:b/>
        </w:rPr>
        <w:t>E. 2.2.3</w:t>
      </w:r>
    </w:p>
    <w:p>
      <w:r>
        <w:t>Dem der Klage beigelegten Auszug der Hom e page der Beklagten, datiert vom 1. Januar 2011, ( Urk. 2/25) ist folgendes zu entnehmen: Aus der im Jahr 1 8 9 2 gegründeten Handelsgärtnerei habe sich in den vergangenen Jahrzehnten eine Firmengruppe mit den drei renommierten Haupttätigkeitsbereichen Garten- und Landschaftsbau, Muldenservice und Entsorgung sowie Immobilien entwickelt. Die Ausführung von Erdwärmesonden sei die jüngste Erweiterung ihres Tätigkeitsfel des und ste he ganz im Zeichen der zukunfts orientierten Ausrichtung der X.___ -Gruppe. Für die Ausführung der anspruchsvollen Erdsondenarbeiten verfügten sie über modernste Bohrtechnik und ausgebildetes Fachpersonal. Zusammen mit ihrem umfangreichen Angebot im Bereich Garten- und Umgebungsgestaltung ermöglichten sie eine reibungslose Schnittstelle zum Heizungsunternehmen und nutzten wertvolle Synergien im Bereich Logistik und Organisation. Sie seien daher der verlässliche Partner für die Erstellung von Erdsonden aus einer Hand. Ihre Dienstleistungen im Zusammenhang mit «Erdwärme und Technologie» umfassten Beratung/Service, Transport des gesamten Bohrequipments, Objekt schutz, Bohren, Erdsonden einbauen, Hohlraum ve rfüllen, Druckprüfung sowie Grab - und Wiederinstandstellungsarbeiten. Für die fachmännische Wiederin standstellung oder Neugestaltung der Umgebung bzw. des Gartens würden sie ihre qualifizierten Gartenbauspezialisten empfehlen. Auf dem</w:t>
      </w:r>
    </w:p>
    <w:p>
      <w:r>
        <w:t>von der Klägerin beigelegten Ausdruck unbekannten Datums der Firmenhomepage werden u nter dem Team «Gartenbau» die Geschäftsführung für Gartenbau/Erdsonden, die Bau führer für verschiedene Zuständigkeiten im Bereich Unterhalt, Neu- und Umbau, Kalkulator und Planung, die Bauführung Erdsonden, Baumschule, GartenForum und Werkstatt/Magazin aufgeführt ( Urk. 2/26) .</w:t>
      </w:r>
    </w:p>
    <w:p>
      <w:r>
        <w:t>Im von der Beklagten beige legten Screenshot der Homepage , datierend vom 1 1. Februar 2019 ( Urk. 10/8) , werden die verschiedenen Firmen der Holdinggruppe genannt, darunter die Beklagte unter dem Bereich «Garten- und Landschaftsbau», zu welchem auch die A.___ zählt. Im dazugehörigen Untermenü werden die Tätigkeiten rund um den Garten bau angepriesen, so der Garten- und Landschaftsbau mit Entwicklung, Planung und Umsetzung von Projekten im Grünbereich von A wie Aussenanlage bis Z wie Zierkies , Gartenpflege und Gartenunterhalt, Wasserbau/Pools, Dachbegrünung und Mauern.</w:t>
      </w:r>
    </w:p>
    <w:p>
      <w:r>
        <w:rPr>
          <w:b/>
        </w:rPr>
        <w:t>E. 2.3.1</w:t>
      </w:r>
    </w:p>
    <w:p>
      <w:r>
        <w:t>Angesichts des im Handelsregister eingetragenen Zweck s der B eklagten sowie ihrem Auftreten besteht kein begründeter Zweifel und wird von der Klägerin auch nicht behauptet, dass prägendes Angebot die Gartengestaltung bildet. In diesem Zusammenhang fallen naturgemäss auch Erdverschiebungen, der Bau von Mau ern, Plätze n , Wegen und Wasserbauten an. Die Ausführung dieser Arbeiten wird nicht geson dert zu Gartengestaltung und - unterhalt angeboten, weshalb sie der eigentlichen und prägenden Werk leistung Gartenbau untergeordnet sind und zweifellos nicht dem Geltungsbereich der AVE GAV FAR unterstehen. Dies wird von der Klägerin auch nicht mehr vertreten.</w:t>
      </w:r>
    </w:p>
    <w:p>
      <w:r>
        <w:rPr>
          <w:b/>
        </w:rPr>
        <w:t>E. 2.3.2</w:t>
      </w:r>
    </w:p>
    <w:p>
      <w:r>
        <w:t>Hingegen zeigt der Internetauftritt der Beklagten (geltend jedenfalls ab Januar 2011) , dass der Bereich Erdsondenbohrung eine Eigenständigkeit aufwies und unabhängig von der Gartengestaltung in Anspruch genommen werden konnte, wobei gewisse Synergien mit der anschliessend aus zu führenden Gartengestaltung bzw. -wiederherstellung nicht von der Hand zu weisen sind . Für die Wiederher stellung der</w:t>
      </w:r>
    </w:p>
    <w:p>
      <w:r>
        <w:t>Gartenanlage wird jedoch explizit auf andere Fachleute der Beklag ten verwiesen und die Inanspruchnahme der Erdsondenbau - Arbeiten war nicht zwingend mit der anschliessenden Gartengestaltung verbunden , auch wenn nach Angaben der Beklagten ausschliesslich Kunden des Landschafts- und Gartenbe reich s Auftraggeber gewesen sein sollen ( Urk. 9 Ziffer 66).</w:t>
      </w:r>
    </w:p>
    <w:p>
      <w:r>
        <w:t>Dass der Betriebsteil mit seinen besonderen Produkten resp. Leistungen als Anbieter sich eigenständig und direkt um Kunden bemüht haben muss , ist für die Qualifikation als selbstän diger Betriebsteil nicht no t wendig (Urteil des Bundesgerichts 9C_454/2016 vom 9. März 2017 E. 5.4 mit Hinweis), weshalb auch das Fehlen einer eigenen Home page nicht gegen die Eigenständigkeit des Betriebsteils spricht ( Urk. 9 Ziffer 70). Das Angebot alternativer Energiegewinnung hätte vom übrigen und prägenden Tät igkeitsfeld der Beklagten ohne W eiteres unabhängig erfolgen oder hätte gar (wie dannzumal die Y.___ AG) von einer eigenständigen Schwesterge sellschaft angeboten werden können. Hierfür spricht auch, dass die Aufg abe dieses Geschäftsteils ohne W eiteres , das heisst ohne grössere Umstrukturierung, möglich war ( Urk. 9 Ziffer 66). Für die Erdsondenbohrungen</w:t>
      </w:r>
    </w:p>
    <w:p>
      <w:r>
        <w:t>warb die Beklagte mit Fachpersonal und neustem Maschinenbestand. Damit trat sie</w:t>
      </w:r>
    </w:p>
    <w:p>
      <w:r>
        <w:t>(im Internet jedenfalls ab Anfang 2011 ) nach a ussen in Konkurrenz mit Bohrunternehmun gen, welche als Tiefbaufirmen zweifellos dem Geltungsbereich der AVE GAV FAR unterstehen. W enn einzelne Mitarbeiter in der Abteilung für Erdsondenbohrun gen je nach Auftragslage für Tätigkeiten in der Gartengestaltung eingesetzt wor den sein sollen ( Urk. 9 Ziffer n 55, 66 , 62 ) , so liegt dies in der Natur wirtschaftli chen Handelns, ändert jedoch nichts daran, dass diese Mitarbeiter als Spezialisten in erster Linie nicht für den Gartenbau, sondern für den Bereich Erdsondenboh rungen planten, arbeiteten und hierfür angesichts der angepriesenen Fachkennt nisse offens ichtlich auch angestellt wurden, wie die Beklagte jedenfalls hinsicht lich des Betriebsleiters sinngemäss eingestand ( Urk. 9 Ziffer 67). Dies erhellt auch dadurch, dass für die anschliessend notwendigen Umgebungsarbeiten auf die Abteil ung Gartengestaltung verwiesen wurde. Eine klare Zuordnung der Mitarbeiter war der Beklagten denn auch im Zuge der Lohndeklaration möglich ( Urk. 10/22, Urk. 2/11). Dass drei der Mitarbeiter Erdsondenbohr ungen</w:t>
      </w:r>
    </w:p>
    <w:p>
      <w:r>
        <w:t>auch heute noch im Unternehmen beschäftigt sein sollen ( Urk. 9 Ziffer 66) , ändert an der damaligen Situation, dass der personelle Bereich von den übrigen in der Land schaftsgärtnerei tätigen Mitarbeiterinnen hinreichend klar abgegrenzt werden konnte, nichts. Darin unterscheiden sich die vorliegend zu beurteilenden Umstände bei der Beklagte n massgeblich vom Sachverhalt des von ihr angerufe nen Bundesgerichtsurteils 9C_629/2016 vom 2. März 2017 ( Urk. 9 Ziffer 44 und 5 4) . Die Umstände des von diesem Urteil erfassten Unternehmens sind jedoch mit dem Bereich der Gartengestaltung vergleichbar, bei welchem - wie eingangs ausgeführt (E. 2.3.1) - gewisse Hoch- und Tiefbauarbeiten untrennbar zum Gartenbau dazugehören können. In diesem unechten Mischbetrieb sind die Kriterien Gepräge, Umsatz, Stellen ein heiten zur Gesamtanalyse heranzuziehen. Für den eigenständigen Betriebsteil Erdsondenbohrungen ist jedoch das Verhält nis Personalbestand oder Umsatz zum Gesamtbetrieb der Beklagten oder gar zur gesamten Unternehmensgruppe untergeordnet. Die absolute Grösse des unter stellten Betriebes bzw. Betrieb s teils (vgl. Urk. 9 Ziffer 58) vermag jedenfalls kein Unterstellungskriterium zu sein.</w:t>
      </w:r>
    </w:p>
    <w:p>
      <w:r>
        <w:rPr>
          <w:b/>
        </w:rPr>
        <w:t>E. 2.3.3</w:t>
      </w:r>
    </w:p>
    <w:p>
      <w:r>
        <w:t>Was die Beklagte ausserdem generell gegen eine Unterstellung einwendet, sticht nicht ( Urk. 9 Ziffer 71 ff.) . Ob die AVE GAV FAR angesichts der ausländischen Anbieter ein un taugliches Mittel zur Vermeidung von Wettbewerbsverzerrung darstellt ,</w:t>
      </w:r>
    </w:p>
    <w:p>
      <w:r>
        <w:t>ändert nichts am Umstand, dass die Voraussetzungen der Unterstellung eines Betriebsteils der Beklagten mit Sitz in der Schweiz zu bejahen sind, weil sie Erzeugnisse gleicher Art anbot wie inländische Tiefbauunternehmen. E in Anspruch auf ( Un ) g leichbehandlung mit Anbietern mit Sitz ausserhalb des schweizerischen Hoheitsbereichs besteht nicht . Nicht zu prüfen, da für die konkrete Unterstellung unter die Anwendung der AVE GAV FAR</w:t>
      </w:r>
    </w:p>
    <w:p>
      <w:r>
        <w:t>und die Beitragspflicht ohne Belang, sind die Vorbringen hinsichtlich der finanziellen Schwierigkeiten und struktureller Intransparenz der Klägerin sowie des für Arbeitnehmer bzw. Versicherte</w:t>
      </w:r>
    </w:p>
    <w:p>
      <w:r>
        <w:t>nicht vorteilhaften Rentenumlageverfahrens bzw. fehlenden Anspruchs auf Freizügigkeitsleistungen. Eine unterschiedliche Hand habung des nicht in der AVE GAV FAR bzw. im GAV FAR geregelten Begriffs des echten Mischbetriebs bzw. - betriebsteils ist angesichts der von der bundesge richtlichen Rechtsprechung herangezogenen Definition analog des Landesman telvertrages für das Bauhauptgewerbe (LMV) nicht ersichtlich ( Urk. 9 Ziffer 78). Soweit die Voraussetzungen für die Qualifikation als eigenstän diger Betriebsteil auch in einem grundsätzlich bra nchenfremden Aussenseiterunternehmen vorlie gen, kann</w:t>
      </w:r>
    </w:p>
    <w:p>
      <w:r>
        <w:t>die Grösse des Betriebsteiles absolut oder im Verhältnis zur Grösse des ges amten Unternehmens oder gar des Unternehmens konzerns kein Abgrenzungs kriterium sein. Die AVE GAV FAR macht auch hinsichtlich Insiderbetriebe n</w:t>
      </w:r>
    </w:p>
    <w:p>
      <w:r>
        <w:t>oder -betriebsteile n</w:t>
      </w:r>
    </w:p>
    <w:p>
      <w:r>
        <w:t>keine Unterstellungsunterschiede anhand der Betriebsgrösse oder der Anzahl Mitarbeiter. Die Abgrenzungsschwierigkeiten zur Unterstellung gehen nicht über diejenigen anderweitige r Qualifikationsfragen anderer Sozialversiche rungszweige hinaus, weshalb das Prinzip der Rechtssicherheit nicht als verletzt zu betrachten ist, auch wenn der Ruf nach einfach anwendbaren Regelungen und Transparenz aus unternehmerischer Sicht nachvollziehbar ist. Inwieweit die AVE GAV FAR die Wirtschaftsfreiheit über das bei Zwangsunterstellungen übliche Mass hinaus einschränkt , ist ebenfalls nicht ersichtlich , auch wenn es den über obligatorischen Bereich der beruflichen Vorsorge betriff t .</w:t>
      </w:r>
    </w:p>
    <w:p>
      <w:r>
        <w:rPr>
          <w:b/>
        </w:rPr>
        <w:t>E. 2.3.4</w:t>
      </w:r>
    </w:p>
    <w:p>
      <w:r>
        <w:t>Der im Handelsregister eingetragene Zweck wurde zwar erst Ende November 2014 durch den Betriebsbereich Erdsondenbohrungen</w:t>
      </w:r>
    </w:p>
    <w:p>
      <w:r>
        <w:t>angepasst .</w:t>
      </w:r>
    </w:p>
    <w:p>
      <w:r>
        <w:t>Nach unwiderlegten Angaben der Beklagten bot sie diese Lei stung aber mit der Einstellung des Bereichsleiter s</w:t>
      </w:r>
    </w:p>
    <w:p>
      <w:r>
        <w:t>ab August 2009 an ( Urk. 9 Ziffer 51, 66 ; Urk. 10/23 ) . Damit ist erstellt, dass ab diesem Zeitpunkt ein nebst dem Gartenbau genügend selbständig abgrenzbarer, eigenständiger Bereich bestand, für den gewisse Mitarbeiter vorwiegend tätig waren und daher eindeutig zugewiesen werden konnten ( Urk. 10/22) . Dass im Internetauftritt der Beklagten dieses Angebot erst anfangs 2011 nach aussen hin in Erscheinung getreten sein soll ( Urk. 20 Ziffer 41 ), vermag angesichts der seit August 2009 und insbesondere im Jahre 201 0 ausge wiesenen Lohnzahlungen ( Urk. 10/22) nicht zu überzeugen. Es ist angesichts des unbestrittenen Angebots sowie der effektiven Ausführungen davon auszugehen , dass die Beklagte mit diesem Bereich allenfalls in anderer Weise nach aussen hin auftrat und Kunden warb und damit in Konkurre nz zu anderen Firmen im Tief baub ereich trat.</w:t>
      </w:r>
    </w:p>
    <w:p>
      <w:r>
        <w:t>Der Bereich Erdsonden wurde Ende 2018 eingestellt, wie sich sowohl aus dem per Anfang Januar 2019 angepassten Zweck , dem Internet- Auftritt der Beklagten sowie dem Bericht des Wirtschaftsprüfers der B.___ AG ( Urk. 23/1) ergibt.</w:t>
      </w:r>
    </w:p>
    <w:p>
      <w:r>
        <w:rPr>
          <w:b/>
        </w:rPr>
        <w:t>E. 2.3.5</w:t>
      </w:r>
    </w:p>
    <w:p>
      <w:r>
        <w:t>Der fragliche Betriebsteil bot nach diesen Erwägungen zusammengefasst nach aussen hin gegenüber den Kunden ein selbständiges, vom Gartenbau unabhängi ges Angebot an und wies auch in struktureller und organisatorischer Hinsicht eine genügende Selbständigkeit auf, um als vom Kernbereich der Beklagten klar abgrenzbarer Bereich qualifiziert zu werden . Unmassgeblich ist damit der Umstand, dass der Umsatz dieses Bereichs und auch der öffentliche Auftritt gegenüber den Kunden eine untergeordnete Bedeutung des gesamten Unterneh mens der Beklagten einnahm. Demzufolge unterstand dieser Bereich der Beklag ten während seines Bestehens gemäss Art. 2 Abs. 4 lit . a AVE GAV FAR dem betrieblichen Geltungsbereich.</w:t>
      </w:r>
    </w:p>
    <w:p>
      <w:r>
        <w:t>Die Beitragspflicht entfiel automatisch im Zeit punkt, als der Betriebsteil aufgelöst wurde (vgl. Urteil des Bundesgerichts 9C_454/2016 vom 9. März 2017 E. 6.6.2).</w:t>
      </w:r>
    </w:p>
    <w:p>
      <w:r>
        <w:rPr>
          <w:b/>
        </w:rPr>
        <w:t>E. 2.3.6</w:t>
      </w:r>
    </w:p>
    <w:p>
      <w:r>
        <w:t>Hinsichtlich des persönlichen Geltungsbereichs ist unter den Parteien unbestritten</w:t>
      </w:r>
    </w:p>
    <w:p>
      <w:r>
        <w:t>( Urk.</w:t>
      </w:r>
    </w:p>
    <w:p>
      <w:r>
        <w:rPr>
          <w:b/>
        </w:rPr>
        <w:t>E. 2.3.7</w:t>
      </w:r>
    </w:p>
    <w:p>
      <w:r>
        <w:t>Gemäss dem allgemeinverbindlich erklärten Art. 9 Abs. 1 GAV FAR schuldet der Arbeitgeber den gesamten in Art. 8 Abs. 1 und 2 GAV FAR umschriebenen Arbeitgeber- und Arbeitnehmerbeitrag (vgl. auch die Änderungen der AVE vom 1. November 2007 und vom 1 4. Juni 2016 hinsichtlich Beitragssatz).</w:t>
      </w:r>
    </w:p>
    <w:p>
      <w:r>
        <w:t>In masslicher Hinsicht sind weder anzuwendender Beitragssatz noch die Lohn summen der unterstellten Arbeitnehmer strittig und stützt sich das mit Replik ( Urk. 14) präzisierte Klagebegehren auf die durch den Wirtschaftsprüfer verifi zierten Angaben der Beklagten ( Urk. 10/22, Urk. 9 Ziffer 103) , was ohne Anhalt für offensichtliche Fehler zu keinen Weiterungen Anlass gibt.</w:t>
      </w:r>
    </w:p>
    <w:p>
      <w:r>
        <w:rPr>
          <w:b/>
        </w:rPr>
        <w:t>E. 2.3.8</w:t>
      </w:r>
    </w:p>
    <w:p>
      <w:r>
        <w:t>Grundlage des von der Klägerin geforderten Verzugszinses bildet Art. 9 Abs. 2 und 3 GAV FAR, der in te ilweiser Abweichung von Art. 102 ff. OR vorsieht, dass Akontozahlungen spätestens per Quartalsende fällig sind und ab Fälligkeit ein Verzugszins von 5 % geschuldet ist. Der jeweils nur per Jahresende einge klagte Verzugszins ist daher ohne Weiteres ausgewiesen. 3.</w:t>
      </w:r>
    </w:p>
    <w:p>
      <w:r>
        <w:t>Die Beklagte erhob die Verjährungseinrede ( Urk. 9 Ziffer 10) .</w:t>
      </w:r>
    </w:p>
    <w:p>
      <w:r>
        <w:rPr>
          <w:b/>
        </w:rPr>
        <w:t>E. 3</w:t>
      </w:r>
    </w:p>
    <w:p>
      <w:r>
        <w:t>1. Dezember 2015</w:t>
      </w:r>
    </w:p>
    <w:p>
      <w:r>
        <w:t>und 1. Januar 20 16 bis 3 0 . Juni 2016 aller Mitarbei ter, soweit diese im genannten Zeitraum unter den per sönlichen Anwen dungsbereich des BRB AVE GAV FAR gefallen sind , nebst 5 % Zins ab dem auf den Ablauf des jeweiligen Abrechn ungsjahres folgenden 1. Januars; -</w:t>
      </w:r>
    </w:p>
    <w:p>
      <w:r>
        <w:rPr>
          <w:b/>
        </w:rPr>
        <w:t>E. 3.1</w:t>
      </w:r>
    </w:p>
    <w:p>
      <w:r>
        <w:t>Forderungen auf periodische Beiträge und Leistungen verjähren nach fünf Jahren. Die Art. 129-142 OR sind anwendbar ( Art. 41 Abs. 2 BVG i. V.m . Art. 89a Abs. 6 Ziff. 5 des Zivilgesetzbuches [ZGB] ). Die Verjährung beginnt mit der Fälligkeit der F orderung ( Art. 130 Abs. 1 OR). Sie wird unter anderem durch Schuldbetrei bung und Klage unterbrochen ( Art. 135 Ziff. 2 OR) und beginnt mit jedem Betrei bungsakt von neuem zu laufen ( Art. 138 Abs. 2 OR).</w:t>
      </w:r>
    </w:p>
    <w:p>
      <w:r>
        <w:t>Laut dem allgemeinverbindlich erklärten Art. 9 Abs. 2 GAV FAR hat der Arbeit geber vierteljährlich Akontozahlungen für die Beiträge abzuliefern, fällig 30 Tage nach der Rechnungsstellung, spätestens jedoch per Quartalsende. Seit dem Inkrafttreten der 1. BVG-Revision auf Anfang 2005 besteht zudem eine gesetzli che Fälligkeitsregel für Beitragsforderungen. Danach überweist der Arbeitgeber die beiderseitigen Beiträge bis spätestens zum Ende des ersten Monats nach dem Kalender- oder Versicherungsjahr, für das die Beiträge geschuldet sind, an die Vorsorgeeinrichtung ( Art. 66 Abs. 4 BVG i.V.m . Art. 89a Abs. 6 Ziff.</w:t>
      </w:r>
    </w:p>
    <w:p>
      <w:r>
        <w:rPr>
          <w:b/>
        </w:rPr>
        <w:t>E. 3.2</w:t>
      </w:r>
    </w:p>
    <w:p>
      <w:r>
        <w:t>Eine qualifizierte Meldepflichtverletzung im Sinne dieser Rechtsprechung liegt nicht vor. Untersteht di e Beklagte nur hinsichtlich eines ihrer betreffend Selb ständigkeit umstrittenen Betriebsteil s dem GAV FAR, kommt die fünfjährige Verjährungsfrist ab Fälligkei t der Forderung zum Tragen .</w:t>
      </w:r>
    </w:p>
    <w:p>
      <w:r>
        <w:t>Die Beklagte unter zeichnete erstmals am 2 8. August 2014 eine Verzichtserklärung zur Erhebung der Verjährungseinrede für die bis zum damaligen Zeitpunkt noch nicht verjährten Beitragsforderungen, gültig bis 1. Juli 2015 ( Urk. 2/12). Diese erneuerte sie am 2 2. Juni 2015 für die Periode bis zum 3 1. Dezember 2016 ( Urk. 2/19). Am 2 1. De zember 2016 leitete die Klägerin für eine Beitragssumme ab 20 04 von Fr. 1'452'080. -- die Betreibung ein ( Urk. 2/22; Zahlungsbefehl vom 2 2. Dezember 2016 , zugestellt am 9. Januar 2017, Urk. 15/27) und am 1 7. Dezember 2018 ( Postaufgabe ) Klage ( Urk. 1). Mit präzisiertem Klagebegehren ( Urk. 14) werden Beitragsforderungen ab August 2009 erhoben, welche demnach am 3 0. Septem ber 2009 fällig geworden wären ( Art. 9 Abs. 2 GAV FAR) . Mit recht s gültiger Verzicht s erklärung vor Eintritt der Verjährung dieser Forderungen (verlängert bis Ende 2016) und anschliessenden die Verjährung unterbrechenden Handlungen (2 1. Dezember 2016 und 1 7. Dezember 2018) sind die eingeklagten Beitragsfor derungen nicht verjährt. 4. 4.1</w:t>
      </w:r>
    </w:p>
    <w:p>
      <w:r>
        <w:t>Da § 33 Abs. 1 des Gesetzes über das Sozialversicherungsgericht ( GSVGer ) in Verbindung mit Art. 73 Abs. 2 BVG ein in der Regel kostenloses Verfahren garantiert und der unterliegenden Beklagten keine mut willige oder leichtsin nige Pro zessführung vorzuwerfen ist (e contrario § 33 Abs. 2 GSVGer ), sind keine Gerichtskosten zu erheben. 4.2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 d den privaten UVG-Versicherern sowie - von Sonderfällen ab gesehen - den Kran kenkassen keine Parteientschädigungen zugesprochen, weil sie als Organi satio nen mit öffentlichrechtlichen Aufgaben zu qualifizie ren sind (BGE 112 V 361 E. 6 mit Hinweisen). Das hat grundsätzlich auch für Trä gerinnen oder Versicherer der beruflichen Vorsorge gemäss BVG zu gelten (BGE 126 V 143 E. 4a mit Hinweis) und analog für die im überobligatorischen Bereic h tätige Klägerin ( Art. 89a Abs. 6 Ziff.</w:t>
      </w:r>
    </w:p>
    <w:p>
      <w:r>
        <w:rPr>
          <w:b/>
        </w:rPr>
        <w:t>E. 7</w:t>
      </w:r>
    </w:p>
    <w:p>
      <w:r>
        <w:t>zu bezahlen, nebst 5 % Zins ab dem auf den Ablauf des jeweiligen Abrechnungsjahres folgenden 1. Januars. 4.</w:t>
      </w:r>
    </w:p>
    <w:p>
      <w:r>
        <w:t>U nter Kosten- und Entschädigungsfolgen (zzgl. 7.7 %</w:t>
      </w:r>
    </w:p>
    <w:p>
      <w:r>
        <w:t>MWSt ) zulasten der Beklagten.»</w:t>
      </w:r>
    </w:p>
    <w:p>
      <w:r>
        <w:t>Zur Begründung führte die Klägerin aus ( Urk. 1) , Erdsondenbohrtätigkeiten seien praxisgemäss dem Bereich Tiefbau anzurechnen und somit vom b etrieblichen Geltungsbereich der AVE GAV FAR erfasst (S. 11 Ziffer 33 ) . Die Beklagte bezwecke gemäss Handelsregistereintrag sowie der firmeneigenen Internetseite Erdsondenbohrungen und verfüge über modernste Bohrtechnik und ausgebildetes Fachpersonal (S.</w:t>
      </w:r>
    </w:p>
    <w:p>
      <w:r>
        <w:rPr>
          <w:b/>
        </w:rPr>
        <w:t>E. 11</w:t>
      </w:r>
    </w:p>
    <w:p>
      <w:r>
        <w:t>Ziffer 34 ) . Die Beklagte sei als echter Mischbetrieb zu betrachten und unterstehe damit für diesen Betriebsteil dem GAV FAR (S. 15 f. Ziffer 48) . So könnten die einzelnen Arbeitnehmer dem betreffenden Betriebsteil (nach ursprünglichen Angaben der Beklagten fünf Mi tarbeiter) klar zugeordnet werden; die fragliche Leistung könne theoretisch unabhängig vom übrigen Tätigkeitsfeld der Beklagten erbracht werden und sie biete Leistungen gleicher Art wie dem GAV FAR unterstellte Betriebe an.</w:t>
      </w:r>
    </w:p>
    <w:p>
      <w:r>
        <w:t>Mit Klageantwort vom 2. April 2019 ( Urk. 9) beantragte die Beklagte vollumfäng lich e Abweisung der Klage unter Kosten- und Entschädigungsfolge zulasten der Klägerin. Sie führte im Wesentlichen aus (S. 32 f.) , sie sei ein typisches Land schafts - und Gartenbauunternehmen, habe jedoch ab August 2009 in unterge ordnetem Umfang Erdsondenbohrungen durchgeführt, ab 2011 sei dieser Bereich auch auf ihrer Hom e page aufgeführt. Ende 2018 habe sie diese Tätigkeit vollstän dig eingestellt, weshalb eine Unterstellung unter den GAV FAR ab dem 1. Januar 2019 zum Vornherein entfiele. Die in diesem Bereich ehemals beschäftigten Mit arbeiter hätten je nach Auftragslage regelmässig als Chauffeure oder im Land schafts - und Gartenbau der Klägerin ausgeholfen. Drei dieser Mitarbeiter würden auch nach dem 1. Januar 2019 weiterbeschäftigt. Analog dem Bundesgerichts entscheid zu einem typischen Betrieb der Forstwirtschaft (Urteil 9C_629/2016 vom 2. März 2017) entfalle auch in ihrem Falle eine Unterstellung, weil ein unechter Mischbetrieb mit Gepräge im Landschafts- und Gartenbau vorliege. Eine weite Auslegung der für die Unterstellung eines Aussenseitermischbetriebs ande rer Branchen erforderlichen Voraussetzungen würde zu unbilligen Ergebnissen und Rechtsunsicherheiten mit ungewissen finanziellen Folgen führen. Würde wider Erwarten nicht von einem unechten Mischbetrieb der Beklagten ausgegan gen, müsste eine ausschliessliche Beschäftigung der im bauhauptgewerblichen echten Betriebsteil tätigen Mitarbeiter gefordert werden. Zudem müsste der Bereich nicht nur theoretisch, sondern unabhängig vom übrigen Tätigkeitsfeld in erheblichem Umfang Leistungen auf dem Absatzmarkt erbringen. Beides sei bei ihr nicht der Fall. Auch der erzielte Umsatz von rund Fr. 1,9 Mio. (2017 Fr. 1,6 Mi o ., 20 1 8 Fr. 1,5 Mio.) sei angesichts der teuren Maschinerie nicht erheblich. Der Klageantwort legte sie eine durch einen beauftragten Wirtschaftsprüfer anhand der Geschäftsunterlagen überprüfte Auflistung der jährlichen AHV-pflichtigen Lohnsummen der vom 1. August 2009 bis 3 1. Dezember 2017 regel mässig im Bereich Erdsondenbohrungen tätigen Mitarbeiter bei ( Urk. 10/22), wobei sie den Lohn der drei Arbeitnehmer, mit welchen das Arbeitsverhältnis über den 1. Januar 2019 hinaus andauerte, sowie den Lohn des Bauführers Leiter Erdsonden separat auswies bzw. in einer zweiten Beitragsberechnung ausschied.</w:t>
      </w:r>
    </w:p>
    <w:p>
      <w:r>
        <w:t>Gestützt auf diese Lohnliste präzisierte und bezifferte die Klägerin mit Replik vom 2 7. August 2019 ( Urk.</w:t>
      </w:r>
    </w:p>
    <w:p>
      <w:r>
        <w:rPr>
          <w:b/>
        </w:rPr>
        <w:t>E. 14</w:t>
      </w:r>
    </w:p>
    <w:p>
      <w:r>
        <w:t>ZGB ).</w:t>
      </w:r>
    </w:p>
    <w:p>
      <w:r>
        <w:t>Grundsätzlich kann auch eine dem Gläubiger unbekannte Forderung fällig wer den (BGE 136 V 73 E. 4.1 S. 78 mit Hinweisen). In Abweichung von dieser Regel erfolgt bei qualifizierter Meldepflichtverletzung im Sinne einer unentschuldbaren Unterlassung des Schuldners ein Aufschub der Fälligkeit der einzelnen periodi schen Beitragsforderung bis zu dem Zeitpunkt, in welchem die Beitragsgläubige rin davon anrechenbare Kenntnis erlangt (BGE 136 V 73 E. 4.2 S. 79). Von einer solchen grobfahrlässigen Verletzung der sich unmittelbar aus einem allgemein verbindlichen Vertrag mit Gesetzescharakter ergebenden Verpflichtung zur Anmeldung und Bezahlung von Beiträgen an die Stiftung FAR ist etwa dann auszugehen, wenn sich ein dem GAV FAR unterstellter Arbeitgeber nicht selber bei der Stiftung FAR anmeldet. Unter diesen Umständen beginnt die fünfjährige Verjährungsfrist erst mit der (zumut- resp. anrechenbaren) Kenntnis der Stiftung von ihrer Beitragsforderung gegenüber dem betroffenen Arbeitgeber zu laufen (BGE 138 V 3 2 E. 4.1 S. 39 mit Hinweisen; Urteil des Bundesgerichts 9C_392/2016 vom 1 7. Oktober 2016 E. 3.2.2 ).</w:t>
      </w:r>
    </w:p>
    <w:p>
      <w:r>
        <w:rPr>
          <w:b/>
        </w:rPr>
        <w:t>E. 19</w:t>
      </w:r>
    </w:p>
    <w:p>
      <w:r>
        <w:t>ZGB) . Der obsiegenden Klägerin ist daher keine Par teientschädi gung zu Lasten der</w:t>
      </w:r>
    </w:p>
    <w:p>
      <w:r>
        <w:t>Beklagten zuzusprechen.</w:t>
      </w:r>
    </w:p>
    <w:p>
      <w:r>
        <w:t>Der</w:t>
      </w:r>
    </w:p>
    <w:p>
      <w:r>
        <w:t>Beklagten steht ausgangsgemäs s keine Parteientschädigung zu. Das Gericht erkennt: 1.</w:t>
      </w:r>
    </w:p>
    <w:p>
      <w:r>
        <w:t>In Gutheissung der Klage wird die Beklagte verpflichtet, der Klägerin</w:t>
      </w:r>
    </w:p>
    <w:p>
      <w:r>
        <w:t>- Fr. 5'788.53 für das Jahr 2009, nebst 5 % Zins ab dem 1. Januar 2010</w:t>
      </w:r>
    </w:p>
    <w:p>
      <w:r>
        <w:t>- Fr. 19’363.18 für das Jahr 2010, nebst 5 % Zins ab dem 1. Januar 2011</w:t>
      </w:r>
    </w:p>
    <w:p>
      <w:r>
        <w:t>- Fr. 20'657.45 für das Jahr 2011, nebst 5 % Zins ab dem 1. Januar 2012</w:t>
      </w:r>
    </w:p>
    <w:p>
      <w:r>
        <w:t>- Fr. 19'435.36 für das Jahr 2012, nebst 5 % Zins ab dem 1. Januar 2013</w:t>
      </w:r>
    </w:p>
    <w:p>
      <w:r>
        <w:t>- Fr. 21'930.31 für das Jahr 2013, nebst 5 % Zins ab dem 1. Januar 2014</w:t>
      </w:r>
    </w:p>
    <w:p>
      <w:r>
        <w:t>- Fr. 23'9 78 .23 für das Jahr 2014, nebst 5 % Zins ab dem 1. Januar 2015</w:t>
      </w:r>
    </w:p>
    <w:p>
      <w:r>
        <w:t>- Fr. 20'596.28 für das Jahr 2015, nebst 5 % Zins ab dem 1. Januar 2016</w:t>
      </w:r>
    </w:p>
    <w:p>
      <w:r>
        <w:t>- Fr. 25'464.-- für das Jahr 2016, nebst 5 % Zins ab dem 1. Januar 2017</w:t>
      </w:r>
    </w:p>
    <w:p>
      <w:r>
        <w:t>- Fr. 33'224.68 für das Jahr 2017, nebst 5 % Zins ab dem 1. Januar 2018</w:t>
      </w:r>
    </w:p>
    <w:p>
      <w:r>
        <w:t>zu bezahlen. 2.</w:t>
      </w:r>
    </w:p>
    <w:p>
      <w:r>
        <w:t>Das Verfahren ist kostenlos. 3.</w:t>
      </w:r>
    </w:p>
    <w:p>
      <w:r>
        <w:t>Der Klägerin wird keine Prozessentschädigung zugesprochen. 4.</w:t>
      </w:r>
    </w:p>
    <w:p>
      <w:r>
        <w:t>Zustellung gegen Empfangsschein an: - Rechtsanwältin Saskia Hiltbrunner - Advokatin Yolanda Müller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