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BV.2018.00097 vom 3. September 2020</w:t>
      </w:r>
    </w:p>
    <w:p>
      <w:r>
        <w:t>ZH Sozialversicherungsgericht, 2020-09-03, DE</w:t>
      </w:r>
    </w:p>
    <w:p>
      <w:r>
        <w:rPr>
          <w:b/>
        </w:rPr>
        <w:t xml:space="preserve">Quelle: </w:t>
      </w:r>
      <w:r>
        <w:t>https://mcp.opencaselaw.ch/entscheid/zh_sozialversicherungsgericht_BV.2018.00097</w:t>
      </w:r>
    </w:p>
    <w:p>
      <w:r>
        <w:t>FR: ZH_SOZIALVERSICHERUNGSGERICHT BV.2018.00097 du 3 septembre 2020</w:t>
      </w:r>
    </w:p>
    <w:p>
      <w:r>
        <w:t>IT: ZH_SOZIALVERSICHERUNGSGERICHT BV.2018.00097 del 3 settembre 2020</w:t>
      </w:r>
    </w:p>
    <w:p>
      <w:pPr>
        <w:pStyle w:val="Heading2"/>
      </w:pPr>
      <w:r>
        <w:t>Erwägungen</w:t>
      </w:r>
    </w:p>
    <w:p>
      <w:r>
        <w:rPr>
          <w:b/>
        </w:rPr>
        <w:t>E. 1</w:t>
      </w:r>
    </w:p>
    <w:p>
      <w:r>
        <w:t>X.___ , geboren 1948, war seit der Eintragung der</w:t>
      </w:r>
    </w:p>
    <w:p>
      <w:r>
        <w:t>Y.___ ins Handelsregister des Kantons Aargau</w:t>
      </w:r>
    </w:p>
    <w:p>
      <w:r>
        <w:t>einziges Mitglied des Verwaltungs rates und zugleich bei dieser Gesellschaft als Arbeitnehmer angestellt</w:t>
      </w:r>
    </w:p>
    <w:p>
      <w:r>
        <w:t>( Urk. 17 S. 2, www.zefix.ch ) . M it Verfügung vom 13. Oktober 2008 wurde die Y.___</w:t>
      </w:r>
    </w:p>
    <w:p>
      <w:r>
        <w:t>der Stiftung Auffangeinrichtung BVG (nachfolgend: Vorsorgestiftung) rückwirkend per 1. Januar 2006 zwangsweise angeschlossen (Urk. 18/18). Mit Schreiben vom 25. März 2013 teilte die</w:t>
      </w:r>
    </w:p>
    <w:p>
      <w:r>
        <w:t>Vorsorgestiftung dem Versicherten mit, dass anlässlich seiner Pensionierung per 31. März 2013 ein Alterskapital in der Höhe von Fr. 18'393.30 fällig werde. Aufgrund einer Verrechnung mit einem Prämienausstand in der Höhe von Fr. 20'387.40 resultiere jedoch ein Saldo zu ihren Gunsten von Fr. 1'994.10 (Urk. 18/5). Auf Nachfrage des Versicherten (Urk. 18/ 6) führte die Vorsorgestiftung in ihrem Schreiben vom 25. November 2013 ergänzend aus , es handle sich bei dem genannten Prämienausstand um nicht bezahlte Beiträge</w:t>
      </w:r>
    </w:p>
    <w:p>
      <w:r>
        <w:t>der Y.___ . Als Mitglied des Verwaltungsrates sei der Versicherte für die zeitgerechte Entrichtung der Beiträge mitverantwortlich gewesen, weshalb sein Alterskapital mit dem Ausstand verrechnet worden sei</w:t>
      </w:r>
    </w:p>
    <w:p>
      <w:r>
        <w:t>( Urk. 18/7) . In der darauffolgenden Korrespondenz beharrten die Parteien auf ihren Standpunkten (Urk. 18/8-9 , Urk. 18/11, vgl. auch Urk. 18/10 und Urk. 18/12-16 ).</w:t>
      </w:r>
    </w:p>
    <w:p>
      <w:r>
        <w:rPr>
          <w:b/>
        </w:rPr>
        <w:t>E. 2</w:t>
      </w:r>
    </w:p>
    <w:p>
      <w:r>
        <w:t>.3</w:t>
      </w:r>
    </w:p>
    <w:p>
      <w:r>
        <w:t>Als weitere Haftungsvoraussetzung ist ein widerrechtliches Verhalten der ver antwortlichen Person erforderlich. Gestützt auf Art. 66 Abs. 2 BVG schuldet der Arbeitgeber der Vorsorgeeinrichtung die gesamten Beiträge. Die Beitrags- und Abrechnungspflicht des Arbeitgebers ist im Rahmen des Obligatoriums eine ge setzlich vorgeschriebene öffentlichrechtliche Aufgabe. Die Nichterfüllung dieser</w:t>
      </w:r>
    </w:p>
    <w:p>
      <w:r>
        <w:t>öffentlich rechtlichen Aufgabe bedeutet eine Missachtung von Vorschriften und ist widerrechtlich (BGE 118 V 195 E. 2a mit Hinweisen).</w:t>
      </w:r>
    </w:p>
    <w:p>
      <w:r>
        <w:t>Am</w:t>
      </w:r>
    </w:p>
    <w:p>
      <w:r>
        <w:t>13. Oktober 2008 wurde die Y.___ der Beklagten rückwirkend</w:t>
      </w:r>
    </w:p>
    <w:p>
      <w:r>
        <w:t>per 1. Januar 200</w:t>
      </w:r>
    </w:p>
    <w:p>
      <w:r>
        <w:rPr>
          <w:b/>
        </w:rPr>
        <w:t>E. 6</w:t>
      </w:r>
    </w:p>
    <w:p>
      <w:r>
        <w:t>angeschlossen (Urk. 18/18). Gemäss den Anschlussbe din gunge n der Beklagten werden die Beiträge vierteljährlich nachschüssig in Rech nung ge stellt und sind jeweils am 1. März, 1. Juni, 1. September sowie 1. Dezem ber fällig . Sie sind zahlbar innert 30 Tagen nach Fälligkeit (Urk. 18/18 An schluss be din gungen S. 2 Ziffer 4). A nhand der Akten ist ausgewiesen, dass die Y.___ seit Juli 2012 nicht mehr alle obligatorischen Beiträge an die Vorsorgestiftung voll ständig bezahlt hat ( Urk. 18/24, Urk. 18/30-31; vgl. E. 2.2) . Damit hat sie beziehungsweise der für sie handelnde Kläger die durch Gesetz und Anschluss bedingungen auferlegte Prämienzahlungspflicht verletzt und nicht für die Über weisung der gesamten Arbeitnehmer- und Arbeitgeberbeiträge gesorgt. D as Ver halten des Klägers ist dementsprechend als widerrechtlich zu qualifizieren. 2 .4</w:t>
      </w:r>
    </w:p>
    <w:p>
      <w:r>
        <w:t>Die Mitglieder des Verwaltungsrates und die mit der Geschäftsführung oder der Liquidation befassten Personen haften nach Art. 754 OR für jedes Verschulden, das heisst auch für leichte Fahrlässigkeit. Dabei gilt ein objektiver Verschuldens massstab. Es genügt also nicht, dass die Geschäftsführungsorgane die gleiche Sorgfalt angewendet haben, wie sie sie in ihren eigenen Angelegenheiten beach ten. Ein Verschulden ist vielmehr immer dann gegeben, wenn die betreffende Person nicht so gehandelt hat, wie es von einem objektivierten Organ in der konkreten Stellung verlangt werden darf. Mit anderen Worten wird das Verhalten des Mitglieds des Verwaltungsrates mit demjenigen verglichen, das billigerweise von einer abstrakt vorgestellten, ordnungsgemäss handelnden Person, in einer vergleichbaren Situation erwartet werden kann (Gericke/Waller, a.a.O., N 32 zu Art. 754 OR mit Hinweis en unter anderem auf BGE 139 II I 24 , S. 26 ).</w:t>
      </w:r>
    </w:p>
    <w:p>
      <w:r>
        <w:t>Bei ein fachen Verhältnissen muss vom einzigen Verwaltungsratsmitglied einer Akt i en gesellschaft, der als solcher die Verwaltung der Gesellschaft als einzige Person in Organstellung zu besorgen hat, in der Regel der Überblick über alle wesentlichen Belange der Firma verlangt werden ( Urteil des Bundesgerichts H 149/02 vom 8. Oktober 2002 E. 3.1, BGE 112 V 1 E. 1.2.b). Allfällige Rechtfertigungs- und Exkulpationsgründe für das Herbeiführen de s Schadens sind von der schadener satzpflichtigen Person vorzubringen und nachzuweisen (Urteil des Bundesge richts H 67/06 vom 11 . Juli 2006 E. 5.3).</w:t>
      </w:r>
    </w:p>
    <w:p>
      <w:r>
        <w:t>Bei der Y.___ handelt es sich um ein kleines Unternehmen, bei welchem der Kläger seit der Gründung einziges Mitglied des Verwaltungsrates war. Vor diesem Hintergrund war es ihm ohne weiteres möglich und zumutbar, den Überblick über alle wesentlichen Belange der Firma zu haben und auch über die Abwicklung der Beiträge an die Beklagte und die diesbezüglich bestehenden Ausstände im Bilde zu sein. Rechtfertigungs- oder Exkulpations gründe sind nicht auszumachen. Insbesondere bringt der Kläger nicht vor, Kompetenzen in diesem Bereich an andere Personen delegiert und damit für die Abwicklung d er Beiträge nicht zuständig gewesen zu sein. Damit ist ein Verschulden des Klägers aus gewiesen. 2 .5</w:t>
      </w:r>
    </w:p>
    <w:p>
      <w:r>
        <w:t>Eine weitere Voraussetzung für eine Haftung ist, dass das widerrechtliche und schuldhafte Verhalten des Organs den Schaden verursacht hat (Gericke/Waller, a.a.O., N 42 zu Art. 754 OR). Mit einer ordnungsgemässen Entrichtung der Beiträge an die Beklagte hätte der Kläger den Schadenseintritt verhindern können (vgl. Gericke/Waller, a.a.O., N 43 zu Art. 754 OR). Damit ist ein adäquater Kausalzusammenhang zwischen dem pflichtwidrigen Verhalten des Klägers und dem eingetretenen Schaden zu bejahen. 2 .6</w:t>
      </w:r>
    </w:p>
    <w:p>
      <w:r>
        <w:t>Zusammengefasst ergibt sich, dass der Kläger als Organ der Y.___ durch das widerrechtliche Nichtbezahlen der Prämien schuldhaft einen Schaden in der Höhe von Fr. 18'393.30 verursacht hat. Gestützt auf Art. 754 OR ist er dafür der Bekla gten gegenüber ersatzpflichtig. 3 .</w:t>
      </w:r>
    </w:p>
    <w:p>
      <w:r>
        <w:t>3 .1</w:t>
      </w:r>
    </w:p>
    <w:p>
      <w:r>
        <w:t>Zu prüfen bleibt die Zulässigkeit der von der Beklagten beantragten Verrechnung des unbestrittenen Alterskapitals des Klägers mit der ihr nach dem Gesagten zustehenden Schadenersatzforderung. 3 .2</w:t>
      </w:r>
    </w:p>
    <w:p>
      <w:r>
        <w:t>Die Verrechenbarkeit sich gegenüberstehender Forderungen stellt nach Lehre und Rechtsprechung einen allgemeinen Rechtsgrundsatz dar, der für das Zivilrecht in Art. 120</w:t>
      </w:r>
    </w:p>
    <w:p>
      <w:r>
        <w:t>ff. OR ausdrücklich verankert ist, aber auch im Verwaltungsrecht zur Anwendung gelangt. Unter Vorbehalt verwaltungsrechtlicher Sonderbestim mun 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Im Bereich der Berufsvorsorge ist die spezielle Frage der Verrechenbarkeit von Forderungen, welche der Arbeitgeber an die Vorsorgeeinricht ung abgetreten hat, gesetzlich – in restriktivem Sinn – geregelt (Art. 39 Abs. 2 BVG; vgl. dazu BGE 114 V 33).</w:t>
      </w:r>
    </w:p>
    <w:p>
      <w:r>
        <w:t>Art. 39 Abs. 2 BVG regelt jedoch nicht die Frage der Verrechnung der eigenen Ansprüche des Vorsorgewerkes mit denen des Versicherten (Urteil des Bundes gerichts 9C_697/2008 vom 16. Dezember 2009 E. 5.1) . Die Verrechnung einer Schadenersatzforderung aus aktienrechtlicher Verantwortlichkeit (Art. 754 OR) mit der Austrittsleistung ist zulässig, da der Vorsorgeeinrichtung ein eigener Anspruch gegen den Schadenersatzpflichtigen zusteht. So kann der Anspruch aus Verantwortlichkeit mit demjenigen des haftpflichtigen Organs auf eine berufsvor sorgerechtliche Altersrente, vorbehältlich des Eingriffs in das Existenzminimum, verrechnet werden . Das Verrechnungsverbot von Art. 39 Abs. 2 BVG greift in einem sol chen Fall nicht ( SZS 2010</w:t>
      </w:r>
    </w:p>
    <w:p>
      <w:r>
        <w:t>S. 111 mit Hinweisen). Wie im Privatrecht ist auch im Verwaltungs- und insbesondere im Sozialversicherungsrecht eine Ver rechnung nur möglich, wenn folgende grundsätzliche Voraussetzungen erfüllt sind: Forderung und Gegenforderung, die verrechnet werden sollen, müssen zwischen den gleichen Rechtsträgern bestehen; die zur Verrechnung gebrachte Forderung muss fällig u nd rechtlich durchsetzbar sein (SZS 2002 S. 260 ff. ). 3 .3</w:t>
      </w:r>
    </w:p>
    <w:p>
      <w:r>
        <w:t>Der Kläger verfügt gegenüber der Beklagten unbestrittenermas sen über einen Anspruch auf ein</w:t>
      </w:r>
    </w:p>
    <w:p>
      <w:r>
        <w:t>Alterskapital in der Höhe von Fr. 18'393.30 (Urk. 17 S. 9, Urk. 18/5). Auf der anderen Seite steht d e r Beklagten gegenüber dem Kläger eine Schadenersatzforderung in der Höhe von ebenfalls Fr. 18'393.30 zu (E. 2 .6).</w:t>
      </w:r>
    </w:p>
    <w:p>
      <w:r>
        <w:t>Damit bestehen Forderung (Alterskapital) und Gegenforderung (Schadener satz forderung) zwischen den gleichen Rechtsträgern. Beide Forderungen sind fällig und rechtlich durchsetzbar. Da die Voraussetzungen für eine Verrechnung der betraglich übereinstimmenden Forderungen damit erfüllt sind, ist der Anspruc h des Klägers auf Auszahlung des</w:t>
      </w:r>
    </w:p>
    <w:p>
      <w:r>
        <w:t>Alterskapitals d urch Verrechnung unterge gangen. 4.</w:t>
      </w:r>
    </w:p>
    <w:p>
      <w:r>
        <w:t>Die vorstehenden Erwägungen haben die Abweisung der Klage</w:t>
      </w:r>
    </w:p>
    <w:p>
      <w:r>
        <w:t>zur Folge. B ei diesem Verfahrensausgang kann von der Prüfung der von der Beklagten für den Fall erhobenen Widerklage, dass die Klage des Klägers gutgeheissen werden sollte ( Urk. 17 S. 2, Urk. 17 S. 14 ff.) , abgesehen werden. 5 .</w:t>
      </w:r>
    </w:p>
    <w:p>
      <w:r>
        <w:t>Praxisgemäss werden den Trägern der beruflichen Vorsorge keine Prozessent schädigungen zugesprochen. So ist auch hier zu verfahren. Die obsiegende Beklagte hat denn auch keinen entsprechenden Antrag gestellt (Urk. 17 S. 2). Die Einzelrichterin erkennt: 1.</w:t>
      </w:r>
    </w:p>
    <w:p>
      <w:r>
        <w:t>Die Klage wird abgewiesen. 2.</w:t>
      </w:r>
    </w:p>
    <w:p>
      <w:r>
        <w:t>Das Verfahren ist kostenlos. 3.</w:t>
      </w:r>
    </w:p>
    <w:p>
      <w:r>
        <w:t>Zustellung gegen Empfangsschein an: - X.___ - Stiftung Auffangeinrichtung BVG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PhilippKübler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