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BV.2018.00094 vom 4. Juni 2010</w:t>
      </w:r>
    </w:p>
    <w:p>
      <w:r>
        <w:t>ZH Sozialversicherungsgericht, 2010-06-04, DE</w:t>
      </w:r>
    </w:p>
    <w:p>
      <w:r>
        <w:rPr>
          <w:b/>
        </w:rPr>
        <w:t xml:space="preserve">Quelle: </w:t>
      </w:r>
      <w:r>
        <w:t>https://mcp.opencaselaw.ch/entscheid/zh_sozialversicherungsgericht_BV.2018.00094</w:t>
      </w:r>
    </w:p>
    <w:p>
      <w:r>
        <w:t>FR: ZH_SOZIALVERSICHERUNGSGERICHT BV.2018.00094 du 4 juin 2010</w:t>
      </w:r>
    </w:p>
    <w:p>
      <w:r>
        <w:t>IT: ZH_SOZIALVERSICHERUNGSGERICHT BV.2018.00094 del 4 giugno 2010</w:t>
      </w:r>
    </w:p>
    <w:p>
      <w:pPr>
        <w:pStyle w:val="Heading2"/>
      </w:pPr>
      <w:r>
        <w:t>Erwägungen</w:t>
      </w:r>
    </w:p>
    <w:p>
      <w:r>
        <w:rPr>
          <w:b/>
        </w:rPr>
        <w:t>E. 1.1</w:t>
      </w:r>
    </w:p>
    <w:p>
      <w:r>
        <w:t>Die 1962 geborene X.___ war vom 1. März 2007 bis am 30. Juni 2008 als Sachbearbeiterin bei der Y.___ AG angestellt und dadurch bei der Migros-Pensionskasse berufsvorsorgeversichert. Ab dem 1. Juli 2008 arbeitete sie auf der Gemeindeverwaltung Z.___ , wodurch sie bei der BVG-Sammelstiftung Swiss Life berufsvorsorgeversichert war. Dieses Arbeitsverhältnis wurde noch während der Probezeit per 24. Juli</w:t>
      </w:r>
    </w:p>
    <w:p>
      <w:r>
        <w:t>2008 von der Arbeitgeberin gekündigt .</w:t>
      </w:r>
    </w:p>
    <w:p>
      <w:r>
        <w:t>Am 18. Mai 2009 meldete sich X.___ bei der Invalidenversicherung zum Leistungsbezug an. M it Beschluss vom 4. Juni 2010 hielt die IV-Stelle fest, dass X.___ mit Wirkung ab 1. August</w:t>
      </w:r>
    </w:p>
    <w:p>
      <w:r>
        <w:t>2009 Anspruch auf eine ganze Invalidenrente habe, wobei die Leistungen aufgrund verspäteter Anmel dung erst mit Wirkung ab 1. November 2009 auszurichten seien ( Urk. 9/</w:t>
      </w:r>
    </w:p>
    <w:p>
      <w:r>
        <w:rPr>
          <w:b/>
        </w:rPr>
        <w:t>E. 1.2</w:t>
      </w:r>
    </w:p>
    <w:p>
      <w:r>
        <w:t>Mit Schreiben vom 3. Mai 2018 ( Urk. 9/5) teilte die Migros-Pensionskasse X.___ unter Beilage einer Leistungs ab rech n ung, einer Nachzahlungsauf stellung und Überentschädigungsberechnung en mit, dass sie mit Wirkung ab 1. November 2009 eine Rente basierend auf einem Invaliditätsgrad von 100 % ausrichten werde. In der Folge richtete die Migros-Pensionskasse wie angekündigt Rentenleistungen aus. Mit Schreiben vom 2 6. November 2018 wandte sich X.___ an die Migros-Pensionskasse und beantragte, die rückwirkend ausbezahl t en Rentenleistungen seien zu</w:t>
      </w:r>
    </w:p>
    <w:p>
      <w:r>
        <w:rPr>
          <w:b/>
        </w:rPr>
        <w:t>E. 3</w:t>
      </w:r>
    </w:p>
    <w:p>
      <w:r>
        <w:t>).</w:t>
      </w:r>
    </w:p>
    <w:p>
      <w:r>
        <w:t>Am 24. Februar 2013 erhob X.___ Klage gegen die BVG-Samme l stiftung Swiss Life und beantragte die Ausrichtung von reglementarischen Ren tenleistungen als Vorleistung. Nachdem die Migros-Pensionskasse zum Verfahren beigeladen worden war, verpflichtete das hiesige Gericht mit Urteil vom 27. April 2015 (BV.2013.00014 ) die BVG Sammelstiftung Swiss Life, X.___ mit Wirkung ab 1. August 2009 eine volle Invalidenrente im Umfang der obliga to rischen Mindestleistungen der beruflichen Vorsorge als Vorleistung auszurichten , wobei X.___ auf die Rentenbetreffnisse für die Monate September 2012 bis Oktober 2013 zufolge Zession keinen Anspruch habe. Das Bundesgericht hiess die von der BVG Sammelstiftung Swiss Life dagegen erhobene Beschwerde mit Urteil vom 11. Dezember 2015 (9C_425/2015) teilweise gut, hob das Urteil des hiesigen Gerichts vom 27. April 2015 auf und wies die Sache an das hiesige Ge richt zurück, damit es prüfe, ob X.___ grundsätzlich Anspruch auf Invalidenleistungen der beruflichen Vorsorge nach Art. 23 lit . a des Bundes ge setzes über die berufliche Alters-, Hinterlassenen- und Invalidenvorsorge (BVG) habe, und hernach über die Vorleistungspflicht der BVG Sammelstiftung Swiss Life neu entscheide. Das hiesige Gericht stellte daraufhin mit Urteil vom 5. Febru ar 2016 ( BV.2015.00087, Urk. 2/1) in teilweiser Gutheissung der Klage fest, dass X.___ mit Wirkung ab 1. November 2009 Anspruch auf eine volle Invalidenrente im Umfang der obligatorischen Mindestleistungen der beruf lichen Vorsorge als Vorleistung der BVG Sammelstiftung Swiss Life habe. Auf die Rentenbetreffnisse für die Monate September 2012 bis Oktober 2013 habe X.___ zufolge Zession keinen Anspruch. Dieses Urteil erwuchs un angefochten in Rechtskraft.</w:t>
      </w:r>
    </w:p>
    <w:p>
      <w:r>
        <w:t>Die BVG Sammelstiftung Swiss Life erhob am 15. April 2016 beim hiesigen Ge richt Klage gegen die Migros-Pensionskasse und X.___ und bean tragte, es sei festzustellen, dass die Migros-Pensionskasse bezüglich der Invalidi tät von X.___ im Sinne von Art. 23 BVG leistungspflichtig sei . Mit Urteil vom 2 3. August 2017 ( BV.2016.00030, Urk. 2/2) verpflichtete das hiesige Gericht die Migros-Pensionskasse, der BVG Sammelstiftung Swiss Life die an X.___ mit Wirkung ab 1. November 2009 erbrachten Vorleistun gen zurückzuerstatten. Dieses Urteil erwuchs unangefochten in Rechtskraft.</w:t>
      </w:r>
    </w:p>
    <w:p>
      <w:r>
        <w:rPr>
          <w:b/>
        </w:rPr>
        <w:t>E. 3.1</w:t>
      </w:r>
    </w:p>
    <w:p>
      <w:r>
        <w:t>Soweit die Klägerin e ine Entschädigung für Kosten verlangt, welche ihr aufgrund der verspäteten Zahlung der Beklagten angefallen seien, ist die Klage ohne Wei teres abzuweisen. Da – wie eben dargelegt – sich die Beklagte mit ihren Leistun gen nicht in Verzug befand, besteht weder eine gesetzliche (vgl. Art. 106 OR) noch eine regl ementarische Grundlage für einen Entschädigung sanspruch. Dar über hinaus hat sich die Beklagte auch nicht widerrechtlich oder vertragswidrig verhalten.</w:t>
      </w:r>
    </w:p>
    <w:p>
      <w:r>
        <w:rPr>
          <w:b/>
        </w:rPr>
        <w:t>E. 3.2</w:t>
      </w:r>
    </w:p>
    <w:p>
      <w:r>
        <w:t>Hinsichtlich der mit Stellungnahme vom 1 8. April 2019 geltend gemachten An passung der Rentenleistungen an die Preisentwicklung ist die Klägerin darauf hinzuweisen, dass gemäss Art. 36 Abs. 1 BVG zwar Invalidenrente n , deren Lauf zeit drei Jahre überschritten hat, bis zum Erreichen des or dentlichen Rentenalters nach An ordnung des Bundesrates der Preisentwicklung angepasst werden. Diese Regelung gilt jedoch nur für die obligatorische Vorsorge, währenddessen im wei tergehenden Bereich der beruflichen Vorsorge von Gesetzes wegen keine Ver pflichtung zur Anpassung der Invalidenrenten an die Preisentwicklung besteht (vgl. Stauffer/ Cardinaux [Hrsg.] , Rechtsprechung des Bundesgerichts zum Sozial versicherungsrecht, Die berufliche Vorsorge, 4 . Auflage, Art. 36 BVG mit Hinwei sen). Nachdem die Leistung en der Beklagten die gesetzlichen Mindestleistungen übersteigen (vgl. Urk. 9/5, Urk. 14/4; Art. 24 in Verbindung mit Art. 16 in Ver bindung mit Art. 14 Abs. 2 BVG) , hat die Klägerin keinen Anspruch auf eine An passung der Rentenleis tu ngen an die Preisentwicklung. 4.</w:t>
      </w:r>
    </w:p>
    <w:p>
      <w:r>
        <w:t>Nach dem Gesagten erweist sich die Klage als unbegründet und ist abzuweisen. Das Gericht erkennt: 1.</w:t>
      </w:r>
    </w:p>
    <w:p>
      <w:r>
        <w:t>Die Klage wird abgewiesen. 2.</w:t>
      </w:r>
    </w:p>
    <w:p>
      <w:r>
        <w:t>Das Verfahren ist kostenlos. 3.</w:t>
      </w:r>
    </w:p>
    <w:p>
      <w:r>
        <w:t>Zustellung gegen Empfangsschein an: - X.___ - Rechtsanwältin Dr. Isabelle Vetter-Schreiber unter Beilage einer Kopie von Urk. 26 -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VorsitzendeDer Gerichtsschreiber HurstWyler</w:t>
      </w:r>
    </w:p>
    <w:p>
      <w:r>
        <w:rPr>
          <w:b/>
        </w:rPr>
        <w:t>E. 5</w:t>
      </w:r>
    </w:p>
    <w:p>
      <w:r>
        <w:t>). Die Klägerin hat somit keinen Anspruch auf Verzugszin sen.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