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BV.2018.00070 vom 11. März 2020</w:t>
      </w:r>
    </w:p>
    <w:p>
      <w:r>
        <w:t>ZH Sozialversicherungsgericht, 2020-03-11, DE</w:t>
      </w:r>
    </w:p>
    <w:p>
      <w:r>
        <w:rPr>
          <w:b/>
        </w:rPr>
        <w:t xml:space="preserve">Quelle: </w:t>
      </w:r>
      <w:r>
        <w:t>https://mcp.opencaselaw.ch/entscheid/zh_sozialversicherungsgericht_BV.2018.00070</w:t>
      </w:r>
    </w:p>
    <w:p>
      <w:r>
        <w:t>FR: ZH_SOZIALVERSICHERUNGSGERICHT BV.2018.00070 du 11 mars 2020</w:t>
      </w:r>
    </w:p>
    <w:p>
      <w:r>
        <w:t>IT: ZH_SOZIALVERSICHERUNGSGERICHT BV.2018.00070 del 11 marzo 2020</w:t>
      </w:r>
    </w:p>
    <w:p>
      <w:pPr>
        <w:pStyle w:val="Heading2"/>
      </w:pPr>
      <w:r>
        <w:t>Erwägungen</w:t>
      </w:r>
    </w:p>
    <w:p>
      <w:r>
        <w:rPr>
          <w:b/>
        </w:rPr>
        <w:t>E. 1</w:t>
      </w:r>
    </w:p>
    <w:p>
      <w:r>
        <w:t>X.___ , geboren 1957, arbeitete als Geschäftsführer der Z.___ AG ( Urk. 2/11) und war seit dem 1. Januar 2008 bei der Pensionskasse der Y.___ (nachfolgend: Pensionskasse) vorsorgeversichert (Urk. 2/12 ). Die</w:t>
      </w:r>
    </w:p>
    <w:p>
      <w:r>
        <w:t>Z.___ AG verfügte bei der Pensionskasse über eine Ar beitgeber beitrags reserve, welche sich per 3 1. Dezember</w:t>
      </w:r>
    </w:p>
    <w:p>
      <w:r>
        <w:t>2014 auf Fr. 1'107'502. 45 belief ( Urk. 2/13). Per 3 0. Juni 2015 fusionierte die Z.___ AG mit der A.___ AG zur B.___ AG (Urk. 2/14-15) . Mit Zirkulationsbeschluss vom 1 1. Juni 2015 verwies der Verwal tungsrat der Z.___</w:t>
      </w:r>
    </w:p>
    <w:p>
      <w:r>
        <w:t>AG auf den Antrag der Geschäftsleitung, wonach die Arbeitgeberbeitragsreserven aufzulösen und ge mäss dem vorgeschlagenen Verteilplan den Versicherten bei der Pensionskasse gutzu schreiben seien (Urk. 2/9). Diesen Zirkula tions beschluss leitete der Ver sicherte in seiner Funktion als Geschäftsführer der Z.___ AG am 1 8. Juni 2018 an die Pensionskasse weiter ( Urk. 2/ 21- 22). Die Verwaltungs kommission der Pensions kasse entschied in der Folge jedoch anlässlich der Sitzung vom 1 3. Juli 2015 auf den Antrag nicht einzutreten ( Urk. 10/2). Am 24. November 2015 hob der Verwaltungsrat der B.___ AG den Beschluss des Verwal tungsrats der Z.___ AG vom 1 1. Juni 2015 auf (Urk.10/3 ). Dem entsprechend nahm die Pensionskasse die Verteilung der Arbeitgeber beitrags reserven nicht vor. Per 3 0. Juni 2016 wurde X.___</w:t>
      </w:r>
    </w:p>
    <w:p>
      <w:r>
        <w:t>(vorzeitig) pensio nier t . Er erhält von der Pensionskasse eine Altersrente von 17’ 437.-- pro Monat sowie eine AHV-Ersatzrente von Fr. 2'350.-- pro Monat (Urk. 2/3-6). Mit Schrei ben vom 2 3. Mai 2016 ersuchte X.___ durch Rechtsanwältin Regula Hinderling die BVG- und Stiftungsaufsicht des Kantons Zürich (BVS) darum, der Pensionskasse die Anweisung zu erteilen, die recht mässige Verteilung der Arbeitgeber - beitrags reserven zu veranlassen ( Urk. 2/7). Mit Schreiben vom 3 0. Mai 2016 teilte die BVS dem Versicherten mit, die Beurteilung dieser Streitigkeit liege nicht in der Kompetenz der Aufsichtsbehörde, sondern müsste gerichtlich geklärt werden . Sie könne die Pensionskasse nicht anweisen, die Verteilung – gestützt auf einen strittigen Antrag - vorzunehmen ( Urk. 2/8).</w:t>
      </w:r>
    </w:p>
    <w:p>
      <w:r>
        <w:rPr>
          <w:b/>
        </w:rPr>
        <w:t>E. 1.1</w:t>
      </w:r>
    </w:p>
    <w:p>
      <w:r>
        <w:t>Hat der Arbeitnehmer Beiträge an eine Vorsorgeeinrichtung zu leisten, so ist der Arbeitgeber verpflichtet, zur gleichen Zeit mindestens gleich hohe Beiträge wie die gesamten Beiträge aller Arbeitnehmer zu entrichten; er erbringt seine Beiträge aus eigenen Mitteln oder aus Beitragsreserven der Vorsorgeeinrichtung, die von ihm vorgängig hierfür geäufnet worden und gesondert ausgewiesen sind. Der Arbeitgeber muss den vom Lohn des Arbeitnehmers abgezogenen Beitragsanteil zusammen mit seinem Beitragsanteil spätestens am Ende des ersten Monats nach dem Kalender- oder Versicherungsjahr, für das die Beiträge geschuldet sind, an die Vorsorgeeinrichtung überweisen ( Art. 331 Abs. 3 des Obligationenrechts (OR) der im obligatorischen und auch im weiter gehenden Bereich der beruflichen Vorsorge, für registrierte und nicht registrierte Vorsorgeeinrichtungen gilt; BGE 130 V 518 E. 3 S. 521).</w:t>
      </w:r>
    </w:p>
    <w:p>
      <w:r>
        <w:t>Sinn und Zweck von Art. 331 Abs. 3 OR</w:t>
      </w:r>
    </w:p>
    <w:p>
      <w:r>
        <w:t>(in den seit 1. Januar 1985 geltenden Fassungen) ist zu verhindern, dass von den Arbeitnehmern mitalimentiertes freies Stiftungsvermögen einzig dem Arbeitgeber zugute kommt ; weil die freien Mittel von Arbeitgeber und Arbeitnehmer gemeinsam erwirtschaftet werden, müssen grundsätzlich beide nach Massgabe ihrer Beitragsverhältnisse daran partizipieren; mithin ist es ausgeschlossen, aus diesen Mitteln einseitig die Arbeitgeberbeiträge zu bezahlen. Dies gilt indessen nicht, wenn das Stiftungsvermögen vollum fäng lich vom Arbeitgeber finanziert wurde, ohne dass die Arbeitnehmer zu Beiträgen verpflichtet waren (Urteile 9C_954/2010 vom 1 6. Mai 2011 E. 6.1, in: SVR 2011 BVG Nr. 39 S. 145, und 9C_804/2010 vom 2 0. Dezember 2010 E. 3.4.4 mit Hin weisen, in: SVR 2011 BVG Nr. 20 S. 74).</w:t>
      </w:r>
    </w:p>
    <w:p>
      <w:r>
        <w:rPr>
          <w:b/>
        </w:rPr>
        <w:t>E. 1.2</w:t>
      </w:r>
    </w:p>
    <w:p>
      <w:r>
        <w:t>Gemäss Art. 18 Abs. 3 der Statuten der Beklagten ( Urk. 10/4) werden die Beiträge der versicherten Person durch die Bank vom Lohn oder von den Lohnersatz leis tungen (z.B. Unfall- und/oder Krankentaggeld) abgezogen und monatlich, zu sammen mit den Beiträgen der Bank, der Pensionskasse überwiesen. Die Bank erbringt ihr e Beiträge aus eigenen Mitteln oder aus vorgängig hierfür geäufneten Arbeitgeberbeitragsreserven ( Art. 18 Abs.</w:t>
      </w:r>
    </w:p>
    <w:p>
      <w:r>
        <w:rPr>
          <w:b/>
        </w:rPr>
        <w:t>E. 2</w:t>
      </w:r>
    </w:p>
    <w:p>
      <w:r>
        <w:t>Die Beklagte sei zu verpflichten, dem Kläger die Differenz, welche sich aus der gemäss Rechtsbegehren 1 neu berechneten Rente und der Höhe der ihm ab Juli 2016 bereits ausbezahlten Renten von monatlich CHF 17'437.00 (zuzüglich einer monatlichen AHV-Ersatzrente von CHF 2'350.00, befristet bis 3 0. September 2022) ergibt, zuzüglich Zins von je 5 % seit dem jeweiligen Auszahlungszeitpunkt der zu tiefen Renten, nachzuzahlen. 3. Der Kläger behält sich vor, die Begehren gemäss Ziffer 1 und 2 vorstehend im Verlauf des Verfahrens anzupassen oder zu ergänzen.</w:t>
      </w:r>
    </w:p>
    <w:p>
      <w:r>
        <w:rPr>
          <w:b/>
        </w:rPr>
        <w:t>E. 2.1</w:t>
      </w:r>
    </w:p>
    <w:p>
      <w:r>
        <w:t>Der Kläger machte zur Begründung der Klage geltend, er sei seit dem 2. Januar 1983 Arbeitnehmer der Z.___ AG gewesen und als deren Arbeit nehmer seit dem</w:t>
      </w:r>
    </w:p>
    <w:p>
      <w:r>
        <w:rPr>
          <w:b/>
        </w:rPr>
        <w:t>E. 4</w:t>
      </w:r>
    </w:p>
    <w:p>
      <w:r>
        <w:t>Eventualiter zu den Rechtsbegehren 1 – 3 sei festzustellen, dass der Beschluss des Verwaltungsrates der Z.___ AG vom 1 1. Juni 2015 über die Auflösung und Verteilung der Arbeitgeberbeitragsreserve von mindestens CHF 1'197'502.45 von der Beklagten umzusetzen ist.</w:t>
      </w:r>
    </w:p>
    <w:p>
      <w:r>
        <w:rPr>
          <w:b/>
        </w:rPr>
        <w:t>E. 5</w:t>
      </w:r>
    </w:p>
    <w:p>
      <w:r>
        <w:t>der Statuten) . 1. 3</w:t>
      </w:r>
    </w:p>
    <w:p>
      <w:r>
        <w:t>Die Stiftung ist eine von der Stifterfirma getrennte Rechtsperson. Auch ihr Ver mögen ist vom Vermögen der Stifterfirma getrennt und hat einzig dem Stif tungs zweck zu dienen ( Art. 80 des Zivilgesetzbuches</w:t>
      </w:r>
    </w:p>
    <w:p>
      <w:r>
        <w:t>[ ZGB ] ). Die Stifterfirma kann ins besondere nicht das gestiftete Vermögen oder andere Vermögensteile aus der Stif tung entnehmen oder in anderer Weise seinem Zweck entfremden. Darüber haben die Aufsichtsbehörden zu wachen ( Art. 84 Abs. 2 ZGB; BGE 106 II 265 E.</w:t>
      </w:r>
    </w:p>
    <w:p>
      <w:r>
        <w:t>3 S.</w:t>
      </w:r>
    </w:p>
    <w:p>
      <w:r>
        <w:t>269</w:t>
      </w:r>
    </w:p>
    <w:p>
      <w:r>
        <w:t>f., 112 II 471 E. 2; Urteil 5A_274/2008 vom 1 9. Januar 2009 E. 5.1). Diese stiftungsrechtliche Selbstverständlichkeit schliesst aber nicht aus, ein auf rein patronale Zuwendungen zurückzuführendes Vermögen als Arbeitgeber beitrags reserve zu bilanzieren. Die Arbeitgeberbeitragsreserve kann nur, aber immerhin herangezogen werden, um die Beiträge des Arbeitgebers an die Stiftung zu finan zieren. Dadurch wird das vorhandene Vermögen weder gemindert noch dem Stiftungszweck entfremdet (BGE 130 V 518 E. 5.1 S. 522 f.). Auch bei einer all fälligen Totalliquidation der Stiftung werden trotz rein patronaler Finanzierung die allgemeinen stiftungsrechtlichen Grundsätze anzuwenden sein (Urteile des Bundesgerichts 9C_489/2009 vom 1 1. Dezember 2009 E. 2.1, 9C_101/2008 vom 26. Februar 2009 E. 4, 2A.189/2002 vom 1 0. Oktober 2002 E. 3); namentlich wer den auch die Arbeitgeberbeitragsreserven nicht dem Arbeitgeber zurück fliessen, sondern im Sinne des Stiftungszwecks zu verwenden sein (BGE 130 V 518 E. 5.3 und 6 S. 523 ff.). 1 . 4 1. 4 .1</w:t>
      </w:r>
    </w:p>
    <w:p>
      <w:r>
        <w:t>Jeder Kanton bezeichnet ein Gericht, das als letzte kantonale Instanz über Streitig keiten zwischen Vorsorgeeinrichtungen, Arbeitgebern und Anspruchs be rechtigten entscheidet ( Art. 73 Abs. 1 des Bundesgesetzes über die Berufliche Alters-, Hinterlassenen- und Invalidenvorsorge [BVG]). Voraussetzung für den Rechtsweg nach Art. 73 Abs. 1 BVG bildet jedoch, dass eine Streitigkeit aus beruflicher Vorsorge im engeren oder weiteren Sinn vorliegt. Zudem darf die streitige berufsvorsorgerechtliche Angelegenheit nicht in den Zuständigkeits be reich der Aufsichtsbehörden gemäss Art. 61 ff. BVG fallen (Urteile des Eidg . Ver sicherungsgerichts B 114/05 vom 1 4. November 2006 E. 4 und 7.2, in: SVR 2007 BVG Nr. 27 S. 95; B 34/02 vom 3 1. Dezember 2003 E. 2.1 mit zahlreichen Hin weisen, nicht publ . in: BGE 130 V 80, aber in: SVR 2004 BVG Nr. 21 S. 66). 1. 4 .2</w:t>
      </w:r>
    </w:p>
    <w:p>
      <w:r>
        <w:t>Gemäss Art. 73 BVG steht der Klageweg an das kantonale Berufsvorsorgegericht den "Anspruchsberechtigten" offen. Gestützt darauf wurde in der Rechtsprechung wiederholt festgestellt, dass der Rechtsweg nach Art. 73 BVG ausgeschlossen und stattdessen der aufsichtsrechtliche Beschwerdeweg einzuschlagen ist, wenn die Aus richtung reiner Ermessensleistungen in Frage steht (BGE 130 V 80 E.</w:t>
      </w:r>
    </w:p>
    <w:p>
      <w:r>
        <w:t>3.2.1 S. 81 mit Hinweisen). Bei der Verteilung von freien Mitteln ausserhalb einer (Teil-) Liquidation ist eine Zweiteilung im Sinne der Gestaltung und Umsetzung vorzunehmen, die als Abgrenzungskriterium für den Rechtsweg dient. Geht es um die generelle Regelung, wie bestimmte frei e Mittel aufzuteilen sind, so fällt dies nicht in die Beurteilungskompetenz des (kantonalen) Berufsvorsorgegerichts, son dern in jener der Aufsichtsbehörde (BGE 141 V 605).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