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BV.2018.00037 vom 30. Januar 2020</w:t>
      </w:r>
    </w:p>
    <w:p>
      <w:r>
        <w:t>ZH Sozialversicherungsgericht, 2020-01-30, DE</w:t>
      </w:r>
    </w:p>
    <w:p>
      <w:r>
        <w:rPr>
          <w:b/>
        </w:rPr>
        <w:t xml:space="preserve">Quelle: </w:t>
      </w:r>
      <w:r>
        <w:t>https://mcp.opencaselaw.ch/entscheid/zh_sozialversicherungsgericht_BV.2018.00037</w:t>
      </w:r>
    </w:p>
    <w:p>
      <w:r>
        <w:t>FR: ZH_SOZIALVERSICHERUNGSGERICHT BV.2018.00037 du 30 janvier 2020</w:t>
      </w:r>
    </w:p>
    <w:p>
      <w:r>
        <w:t>IT: ZH_SOZIALVERSICHERUNGSGERICHT BV.2018.00037 del 30 gennaio 2020</w:t>
      </w:r>
    </w:p>
    <w:p>
      <w:pPr>
        <w:pStyle w:val="Heading2"/>
      </w:pPr>
      <w:r>
        <w:t>Erwägungen</w:t>
      </w:r>
    </w:p>
    <w:p>
      <w:r>
        <w:rPr>
          <w:b/>
        </w:rPr>
        <w:t>E. 1.1</w:t>
      </w:r>
    </w:p>
    <w:p>
      <w:r>
        <w:t>Die 1958 geborene X.___ schloss am 2 9. Juni 20 0</w:t>
      </w:r>
    </w:p>
    <w:p>
      <w:r>
        <w:rPr>
          <w:b/>
        </w:rPr>
        <w:t>E. 1.2</w:t>
      </w:r>
    </w:p>
    <w:p>
      <w:r>
        <w:t>Mit Verfügung vom 2 3. März 2012 sprach die Sozialversicherungsanstalt des Kantons Zürich, IV-Stelle, X.___</w:t>
      </w:r>
    </w:p>
    <w:p>
      <w:r>
        <w:t>bei einem Invaliditätsgrad von 79 %</w:t>
      </w:r>
    </w:p>
    <w:p>
      <w:r>
        <w:t>mit Wirkung ab 1. September 2010 eine ganze Rente zu ( Urk. 12/121; 12/128). Mit Mitteilung vom 2 4. April 2014 hielt die IV-Stelle einen unveränderten Inva liditätsgrad fest ( Urk. 12/147). 2.</w:t>
      </w:r>
    </w:p>
    <w:p>
      <w:r>
        <w:t>Mit Eingabe vom 3 1. Mai 2018 erhob X.___ Klage gegen die Swiss Life AG und beantragte ( Urk. 1): «1.</w:t>
      </w:r>
    </w:p>
    <w:p>
      <w:r>
        <w:t>Die Beklagte sei zu verpflichten, der Klägerin im Rahmen einer Teilklage unter Nachklagevorbehalt einen Betrag von Fr. 30'000.</w:t>
      </w:r>
    </w:p>
    <w:p>
      <w:r>
        <w:t>aus der Lebens versicherung Swiss Life Crescendo, Police Nr. … , gebundene Vor sorge Säule 3a, zu bezahlen. Zudem versehen mit folgendem Verfahrensantrag : 2.</w:t>
      </w:r>
    </w:p>
    <w:p>
      <w:r>
        <w:t>Es sei davon Vormerk zu nehmen, dass die Forderung aus dem Lebensver sicherungsvertrag mit der Police Nr. … ledi g l ich bis zum Betrag von Fr. 30'000. -- geltend gemacht wird. Es handelt sich um eine Teilklage, sämtliche über diese Summe hinausge he nden Beträge sind von der Rechts kraft dieser Klage auszunehmen und bleiben einer Nachklage ausdrücklich vorbehalten . Alle s unter Kosten- und Entschädigu n g sfolgen zu Lasten der Beklagten.»</w:t>
      </w:r>
    </w:p>
    <w:p>
      <w:r>
        <w:t>Die Beklagte beantragte mit Klageantwort vom 5. Oktober 2018 die Abweisung der Klage ( Urk. 8).</w:t>
      </w:r>
    </w:p>
    <w:p>
      <w:r>
        <w:t>Nachdem mit Verfügung vom 9. Oktober 2018 ( Urk. 10) die Akten der IV-Stelle in Sachen der Klägerin beigezogen worden waren ( Urk. 12/1-149), hielt die Klä gerin mit Replik v om 1 1. Dezember 2019 ( Urk. 23) ebenso an ihren Anträgen fest wie die Beklagte mit Duplik vom 7. Mai 2019 ( Urk. 26). Die Duplik wurde der Klägerin am 1 3. Mai 2019 zur Kenntnisnahme zugestellt ( Urk. 28).</w:t>
      </w:r>
    </w:p>
    <w:p>
      <w:r>
        <w:t>Mit Eingabe vom 2 9. Mai 2019 ersuchte die Kläger in, um Ansetzung einer 30-tägig en Frist zur Stellungnahme ( Urk. 29). Das Gericht teilte ih r daraufhin mit Schreiben vom 3. Juni 2019 mit, dass es eine Stellungnahme zur Duplik nicht als notwendig erachte, es den Parteien aber unbenommen sei, auch diesbezüglich Stellung zu nehmen ( Urk. 30). Nachdem die Klägerin mit Eingaben vom 4. Ju n i 2019 ( Urk. 31), vom 3 0. Juli 2019 ( Urk. 32) und vom 3 0. September 2019 ( Urk. 33) erneut um Ansetzung einer Frist zur Stellungnahme ersucht hatte, reichte sie am 3. Oktober 2019 eine Stellungnahme ein ( Urk. 34). Diese Stellung nahme wurde der Beklagten am 8. Oktober 2019 zur Kenntnisnahme zugestellt ( Urk. 35). 3.</w:t>
      </w:r>
    </w:p>
    <w:p>
      <w:r>
        <w:t>Auf die Vorbringen der Parteien und die eingereichten Akten wird, soweit erfor derlich, im Rahmen der nachfolgenden Erwägungen eingegangen. Das Gericht zieht in Erwägung: 1.</w:t>
      </w:r>
    </w:p>
    <w:p>
      <w:r>
        <w:t>Bei der von der Klägerin bei der Bekla gten abgeschlossenen Police Nr. … handelt es sich um eine Säule 3a-Police im Sinne von Art. 82 Abs. 2 des Bundesgesetzes über die berufliche Alters-, Hinterlassenen und Inva lidenvorsorge (BVG) in Verbindung mit Art. 1 Abs. 1 lit . a der Verord n ung über die steuerliche Abzugsberechtigung für Beiträge an anerkannte Vor sorgeformen (BVV 3) . Gemäss Art. 73 Abs. 1 lit . b BVG</w:t>
      </w:r>
    </w:p>
    <w:p>
      <w:r>
        <w:t>fallen Streitigkeiten mit Einrichtungen gemäss Art. 82 Abs. 2 BVG in die sachliche Zuständigkei t des Berufsvorsorgege richts (BGE 141 V 439 E. 1.1). Örtlich zuständig ist das Gericht am schweizeri schen Sitz oder Wohnsitz des Beklagten oder am Ort des Betriebes, bei dem der Versicherte angestellt wurde ( Art. 73 Abs. 3 BVG ; vgl. auch D5 der Allgemeinen Versicherungsbedingungen, Urk. 9/3 ).</w:t>
      </w:r>
    </w:p>
    <w:p>
      <w:r>
        <w:t>Die Beklagte hat ihren Sitz im Kanton Zürich. Im Kanton Zürich fällt die Beur teilung derartiger Streitigkeiten (gebundene Vorsorge) gemäss § 2 Abs. 2 lit . a des Gesetzes über das Sozialversicherungsgericht ( GSVGer ) in die sachliche Zustän digkeit des angerufenen Sozialversicherungs gerichts. Die sachliche und örtliche Zuständigkeit des hiesigen Gerichts ist damit gegeben . 2.</w:t>
      </w:r>
    </w:p>
    <w:p>
      <w:r>
        <w:t>2.1</w:t>
      </w:r>
    </w:p>
    <w:p>
      <w:r>
        <w:t>Säule 3a-Versicherer dürfen - gleich wie Vorsorgeeinrichtungen im weiter gehen den Vorsorgebereich innerhalb der Grenzen von Art. 49 BVG - in den Zulas sungsbedingungen Erfordernisse in Bezug auf den Gesundheitszustand des Ver sicherten aufstellen und gegebenenfalls Vorbehalte festlegen. Zu diesem Zweck, und um das Risiko angemessen einzusch ätzen, sind die befugten Anstal ten grundsätzlich berechtigt, detaillierte Fragen über den Gesundheitszustand des Antragsstellers zu stellen, auf welcher diese r wahrheitsgetreu zu antworten hat. Erfolgt dies nicht, hat sich der Versicherte eine falsche Erklärung zuzuschreiben und muss gegebenenfalls die Konsequenzen der Anzeigepflichtverletzung auf sich nehmen. Beim Fehlen von spezifischen statutarischen oder reglementari schen Bestimmungen bestimmen sich die Anzeigepflichtverletzung und ihre Fol gen analog zu den Vorschriften von Art. 4 ff. des Bundesgesetzes über den Ver sicherungsvert rag (VVG; BGE 138 III 416 E. 4 mit weiteren Hinweisen = Pra . 2013 Nr. 7 S. 48 E. 4). 2.2</w:t>
      </w:r>
    </w:p>
    <w:p>
      <w:r>
        <w:t>2.2.1</w:t>
      </w:r>
    </w:p>
    <w:p>
      <w:r>
        <w:t>In den Allgemeinen Versicherungsbedingungen zur von der Klägerin bei der Beklagten abgeschlossenen Police wird festgehalten, dass wenn eine versicherte Person beim Abschluss der Versicherung eine Gefahrstatsache , die sie kannte oder kennen musst e , der Beklagten unrichtig mit geteilt oder verschwiegen hat, die Beklagte an den Vertrag nicht gebunden und von diesem - innerhalb von 4 Wochen ab Kenntnis der Anzeigepflichtverletzung - zurücktreten kann, maximal unter Rückerstattung eines allenfalls bestehenden Rückkaufswertes ( Urk. 9/3 D4).</w:t>
      </w:r>
    </w:p>
    <w:p>
      <w:r>
        <w:t>Gemäss Art. 4 VVG hat der Antragsteller dem Versicherer anhand eines Fra ge bo gens oder auf sonstiges schriftliches Befragen alle für die Beurteilung der Gefahr erheblichen Tatsachen, soweit und so wie sie ihm beim Vertragsab schlusse bekannt sind oder bekannt sein müssen, schriftlich mitzuteilen (Abs. 1). Erheblich sind diejenigen Gefahrstatsachen , die geeignet sind, auf den Ent schluss des Ver sicherers, den Vertrag überhaupt oder zu de n vereinbarten Bedingungen abzu schliessen, einen Einfluss auszuüben (Abs. 2). Die Gefahrstatsachen , auf welche die schriftlichen Fragen des Versicherers in bestim mter, unzweideutiger Fassung ge richtet sind, werden als erheblich vermutet (Abs. 3). 2.2.2</w:t>
      </w:r>
    </w:p>
    <w:p>
      <w:r>
        <w:t>Nach der Rechtsprechung sind Gefahrstatsachen im Sinne des Art. 4 VVG alle Tatsachen, die bei der Beurteilung der Gefahr in Betracht fallen und den Versi cherer demzufolge über den Umfang der zu deckenden Gefahr aufklären können; dazu sind nicht nur jene Tatsachen zu rechnen, welche die Gefahr verursachen, sondern auch solche, die bloss einen Rückschluss auf das Vorliegen von Gefah renursachen gestatten. Die Anzeigepflicht des Antragstellers weist indessen kei nen umfassenden Charakter auf. Sie beschränkt sich vielmehr auf die Angabe jener Gefahrstatsachen , nach denen der Versicherer ausdrücklich und in unzwei deutiger Art gefragt hat; der Antragsteller ist daher ohne entsprechende Fragen nicht verpflichtet, von sich aus über bestehende Gefahren Auskunft zu geben (BGE 134 III 511 E. 3.3.2 mit Hinweisen). 2.3</w:t>
      </w:r>
    </w:p>
    <w:p>
      <w:r>
        <w:t>2.3.1</w:t>
      </w:r>
    </w:p>
    <w:p>
      <w:r>
        <w:t>Hat der Anzeigepflichtige beim Abschluss der Versicherung eine erhebliche Gefahrstatsache , die er kannte oder kennen musste und über die er schriftlich befragt worden ist, unrichtig mitgeteilt oder verschwiegen, so ist der Versicherer berechtigt, den Vertrag durch schriftliche Erklärung zu kündigen. Die Kündigung wird mit Zugang beim Versicherungsnehmer wir ksam (Art. 6 Abs. 1 VVG). Das Kündigungsrecht erlischt vier Wochen, nachdem der Versicherer von der Verlet zung der Anzeigepflicht Kenntnis erhalten hat (Abs. 2). Wird der Vertrag durch Kündigung nach Absatz 1 aufgelöst, so erlischt auch die Leistungspflicht des Ver sicherers für bereits eingetretene Schäden, deren Eintritt oder Umfang durch die nicht oder unrichtig angezeigte erhebliche Gefahrstatsache beeinflusst worden ist. Soweit die Leistungspflicht schon erfüllt wurde, hat der Versiche rer Anspruch auf Rückerstattung (Abs. 3). 2.3.2</w:t>
      </w:r>
    </w:p>
    <w:p>
      <w:r>
        <w:t>Das Rücktrittsrecht des Versicherers besteht gemäss Art. 8 Ziff. 1 VVG dann nicht, wenn die verschwiegene oder unrichtig angezeigte Tatsache vor Eintritt des befürchteten Ereignisses weggefallen ist. D abei dürfen auch keine Folgewir kun gen der verschwiegenen Tatsache mehr fortbestehen. Wird beispielsweise eine durch den Versicherungsnehmer verschwiegene oder unrichtig deklarierte Krank heit nach Vertragsabschluss erfolgreich behandelt, so fällt die Gefahrstatsache nicht dahin, falls die früher bestehende Gesundheitsstörung zu Rückfällen oder Spätfolgen führen kann (Nef, in: Basler K ommentar zum VVG , Basel 2001, Art.</w:t>
      </w:r>
    </w:p>
    <w:p>
      <w:r>
        <w:rPr>
          <w:b/>
        </w:rPr>
        <w:t>E. 6</w:t>
      </w:r>
    </w:p>
    <w:p>
      <w:r>
        <w:t>bei der Swiss Life AG die Lebensversicherung Swiss Life Crescendo Police Nr. … ab, mit welcher ein Erlebensfallkapital von Fr. 21'604.--, zahlbar per 2 9. Januar 2022 , sowie ein von Fr. 2’592 -- auf Fr. 21'604. -- steigendes Todesfallkapital, zahlbar bei Tod vor dem 2 8. Januar 2022, versichert war. Zusätzlich wurde eine Jahres r ente bei Erwerbsunfähigkeit infolge Krankheit oder Unfall, zahlbar nach einer Wartefrist von 24 Monaten, in der Höhe von Fr. 24'000.</w:t>
      </w:r>
    </w:p>
    <w:p>
      <w:r>
        <w:t>bei Prämienbefreiung versichert ( Urk. 2/4) . Am 1 6. September 2009 reichte X.___ bei der Swiss Life AG einen Antrag auf Leistungen bei Erwerbsunfähigkeit ein. Sie machte gel tend, dass sie wegen Rückenproblemen u nd Herzrhythmusstörungen seit dem 16. Februar 2009 zu 50 % und ab dem 2 5. Mai 2009 zu 100 % erwerbsunfähig sei ( Urk. 2/9 ). Die Swiss Life holte daraufhin einen Bericht von</w:t>
      </w:r>
    </w:p>
    <w:p>
      <w:r>
        <w:t>Dr. Y.___ , Facharzt FMH für Rheumatologie, ( Bericht vom 5. Oktober 2009, Urk. 9/10) ein, welchem je ein Bericht des Herz - Kreislauf - Zentrums des Univer sitätsspitals Z.___ (Bericht vom 8. September 2009, Urk. 9/11) und der Uni klinik A.___ (Bericht vom 1 9. Juni 2009, Urk. 9/12) beilag. In der Folge holte die Swiss Life AG e inen Bericht</w:t>
      </w:r>
    </w:p>
    <w:p>
      <w:r>
        <w:t>von Dr. B.___ , Fachärztin FMH für Psychiatrie und Psychotherapie,</w:t>
      </w:r>
    </w:p>
    <w:p>
      <w:r>
        <w:t>ein ( Bericht vom 4. November 2009, Urk. 9/15) . Mit Schreiben an X.___ vom 2 9. Oktober 2009 ( Urk. 9/16) erklärte die Swiss Life AG, aus den von ihnen beigezogenen medizinischen Unterlagen gehe hervor, dass im August 2001 die Diagnose eines Morbus Basedow gestellt worden sei und sie - X.___ – deswegen therapiert worden sei. Im Weiteren seien gemäss den ihnen vorliegenden Unterlagen im Mai 2003 medizinische Abklärun gen wegen Herzrhythmusstörungen durchgeführt worden. X.___ habe ihnen diese Tatsache bei der Ant r agsstel l ung verschwiegen. Die Swiss Life AG erklärte, den Vertrag wegen Verletzung der Anzeigepflicht zu kündigen. Mit Schreiben vom 7. Januar 2010 ( Urk. 2/15) opponierte X.___ gegen die Vertragsauflösung. Am 2 0. Januar 2010 antwortete Dr. Y.___ auf von der Swiss Life AG am 13. Oktober 2009 gestellt e Fragen ( Urk. 9/18 ), wobei Dr. Y.___ seiner Auskunft Berichte des Departementes Medizinische Radiologie, Kli nik für Nuklearmedizin, des Z.___ (Berichte vom 1 0. August 2001, Urk. 9/21, und vom 1 2. Mai 2003, Urk. 9/19) und von Dr. C.___ , Facharzt FMH für Kardiologie und für Innere Medizin , (Bericht vom 1 0. Oktober 2002, Urk. 9/20) beilegte . Die Swiss Life AG teilte daraufhin X.___</w:t>
      </w:r>
    </w:p>
    <w:p>
      <w:r>
        <w:t>mit Schrei ben vom 2 9. Januar 2010 ( Urk. 9/22) mit, dass sich aus dem neuen Bericht von Dr. Y.___ ergebe, dass in der Zeit zwischen Juni 2001 und Juli 2006 diverse Behandlungen und Kontrollen im Zusammenhang mit Rückenschmerzen sowie auch wegen einer depressiven Phase und einer Stresssituati o n stattgefunden hät ten. Zudem sei sie im Juni 2006 unter medikamentöser Therapie mit Transtec und Beloc-Zok gestanden. Diese Tatsachen habe sie bei der An tragsstellung ebenfalls verschw i egen. Damit liege eine weitere Verletzung der Anzeigepflicht vor und es entfalle jeglicher Anspruch auf Erwerbsunfähigkeitsleistungen. Die Police werde aufgelöst und der Rückkaufswert zurückerstattet. X.___ verlangte daraufhin erneut die Ausrichtung der vertraglichen Leistungen ( Urk. 2 /18). Im folgenden Schriftverkehr konnten X.___ und die Swiss Life AG keine Einigung erzielen ( Urk. 9/25-34).</w:t>
      </w:r>
    </w:p>
    <w:p>
      <w:r>
        <w:rPr>
          <w:b/>
        </w:rPr>
        <w:t>E. 8</w:t>
      </w:r>
    </w:p>
    <w:p>
      <w:r>
        <w:t>S. 28), welcher von ihr jedoch nicht eingeklagt wurde. Die Klage erweist sich daher als unbegründet und ist abzuweisen. 7.</w:t>
      </w:r>
    </w:p>
    <w:p>
      <w:r>
        <w:t>Die Beklagte, welche als Anbieterin einer gebundenen Vorsorgeversicherung (Säule 3a) eine öffentlichrechtliche Aufgabe wahrnimmt, hat keinen Anspruch auf eine Parteientschädigung (vgl. § 34 Abs. 2 GSVGer ; in BGE 141 V 439 nicht publizierte E. 5 des Urteils des Bundesgerichts 9C_867/2014 vom 1 1. August 2015, in BGE 138 III 416 nicht publizierte E. 7 des Urteils des Bundesgerichts 9C_680/2011 vom 1 1. Mai 2012). Das Gericht erkennt: 1.</w:t>
      </w:r>
    </w:p>
    <w:p>
      <w:r>
        <w:t>Die Klage wird abgewiesen. 2.</w:t>
      </w:r>
    </w:p>
    <w:p>
      <w:r>
        <w:t>Das Verfahren ist kostenlos. 3.</w:t>
      </w:r>
    </w:p>
    <w:p>
      <w:r>
        <w:t>Zustellung gegen Empfangsschein an: - Rechtsanwalt Philip Stolkin - Swiss Life AG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