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BV.2018.00026 vom 28. September 2018</w:t>
      </w:r>
    </w:p>
    <w:p>
      <w:r>
        <w:t>ZH Sozialversicherungsgericht, 2018-09-28, DE</w:t>
      </w:r>
    </w:p>
    <w:p>
      <w:r>
        <w:rPr>
          <w:b/>
        </w:rPr>
        <w:t xml:space="preserve">Quelle: </w:t>
      </w:r>
      <w:r>
        <w:t>https://mcp.opencaselaw.ch/entscheid/zh_sozialversicherungsgericht_BV.2018.00026</w:t>
      </w:r>
    </w:p>
    <w:p>
      <w:r>
        <w:t>FR: ZH_SOZIALVERSICHERUNGSGERICHT BV.2018.00026 du 28 septembre 2018</w:t>
      </w:r>
    </w:p>
    <w:p>
      <w:r>
        <w:t>IT: ZH_SOZIALVERSICHERUNGSGERICHT BV.2018.00026 del 28 settembre 2018</w:t>
      </w:r>
    </w:p>
    <w:p>
      <w:pPr>
        <w:pStyle w:val="Heading2"/>
      </w:pPr>
      <w:r>
        <w:t>Erwägungen</w:t>
      </w:r>
    </w:p>
    <w:p>
      <w:r>
        <w:rPr>
          <w:b/>
        </w:rPr>
        <w:t>E. 1</w:t>
      </w:r>
    </w:p>
    <w:p>
      <w:r>
        <w:t>Der im Februar 1953 geborene X.___ war ab dem 1. Januar 2004 bei der Pensionskasse Y.___ berufsvorsorgeversichert ( Urk. 8/1). Im November 201 7 stell t e die Pensionskasse Y.___ dem Versicherten das Antragsformu lar für den Bezug einer Alterspension oder den Aufs chub der Alterspension zu (Urk. 8/25), worauf dieser am 2 0. November 2017 die Ausrichtung einer Alters pension beantragte ( Urk. 8/26). Mit Schreiben vom 1 1. März 2018 gelangte der Versicherte an die Pensionskasse Y.___ und verlangte die Auszahlung von Fr. 80'000. -- seines Alterskapitals ( Urk. 8/29). Dies wurde von der Pensionskasse Y.___ abgelehnt ( Urk. 8/30 und Urk. 8/32).</w:t>
      </w:r>
    </w:p>
    <w:p>
      <w:r>
        <w:rPr>
          <w:b/>
        </w:rPr>
        <w:t>E. 2</w:t>
      </w:r>
    </w:p>
    <w:p>
      <w:r>
        <w:t>BVG). Abs.</w:t>
      </w:r>
    </w:p>
    <w:p>
      <w:r>
        <w:rPr>
          <w:b/>
        </w:rPr>
        <w:t>E. 2.1.1</w:t>
      </w:r>
    </w:p>
    <w:p>
      <w:r>
        <w:t>Gemäss Art. 37 des Bundesgesetzes über die berufliche Alters-, Hinterlassenen - und Invalidenvorsorge (BVG) werden Alters-, Hinterlassenen- und Invalidenleis tungen in der Regel als Rente ausgerichtet ( Abs. 1). Der Versicherte kann verlan gen, dass ihm ein Viertel seines Altersguthabens, das für die Berechnung der tat sächl ich bezogenen Altersleistungen massgebend ist, als einmalige Kapitalabfin dung ausgerichtet wird ( Art. 37 Abs.</w:t>
      </w:r>
    </w:p>
    <w:p>
      <w:r>
        <w:rPr>
          <w:b/>
        </w:rPr>
        <w:t>E. 2.2</w:t>
      </w:r>
    </w:p>
    <w:p>
      <w:r>
        <w:t>Gemäss Art. 17 Abs. 1 BVG haben Versicherte, denen eine Altersrente zusteht, für jedes Kind, das im Falle ihres Todes eine Waisenrente beanspruchen könnte, Anspruch auf eine Kinderrente in Höhe der Waisenrente.</w:t>
      </w:r>
    </w:p>
    <w:p>
      <w:r>
        <w:t>Anspruch auf Waisen renten haben – unter anderem – die Kinder des Verstorbenen ( Art. 20 BVG). Für Kinder , die sich in Ausbildung befinden, besteht bis zur Vollendung des 2 5. Altersjahres Anspruch ( Art. 22 Abs. 3 lit . a BVG). 3.</w:t>
      </w:r>
    </w:p>
    <w:p>
      <w:r>
        <w:t>Der Altersrücktritt des Klägers erfolgte per 2 8. Februar 2018 ( Urk. 8/25 und Urk. 8/26; Leistungsausweis, Urk. 8/28). Der Kläger e rsuchte die Beklag t e erstmals mit Schreiben vom 1 1. März 2018 um eine Kapitalauszahlung ( Urk. 8/29). Der Antrag erfolgte somit erst nach Ablauf der Frist gemäss Art. 33a Abs.</w:t>
      </w:r>
    </w:p>
    <w:p>
      <w:r>
        <w:rPr>
          <w:b/>
        </w:rPr>
        <w:t>E. 4</w:t>
      </w:r>
    </w:p>
    <w:p>
      <w:r>
        <w:t>des Vor sorgeregle ments, weshalb der Kläger keinen Anspruch auf eine Kapitalauszahlung hat. Hieran vermag se ine Erkrankung nichts zu ändern, da sie ihn nicht daran gehindert hat, rechtzeitig um eine Kapitalauszahlung zu ersuchen.</w:t>
      </w:r>
    </w:p>
    <w:p>
      <w:r>
        <w:rPr>
          <w:b/>
        </w:rPr>
        <w:t>E. 4.1</w:t>
      </w:r>
    </w:p>
    <w:p>
      <w:r>
        <w:t>Es ist unbestritten, dass der Kläger für seinen Sohn, welcher das 2 5. Altersjahr noch nicht vollendet hat und noch in Ausbildung steht (vgl. 8/26) , Anspruch auf eine Alterskinderpension hat (vgl. E. 2.2 sowie Art. 32 Abs. 1 in Verbindung mit Art. 36 des Vorsorgereglements der Beklagten). Zu prüfen bleibt deren Höhe.</w:t>
      </w:r>
    </w:p>
    <w:p>
      <w:r>
        <w:rPr>
          <w:b/>
        </w:rPr>
        <w:t>E. 4.2</w:t>
      </w:r>
    </w:p>
    <w:p>
      <w:r>
        <w:t>Das Vorsorgereglement der Beklagten hält in ihrem Art. 32 fest, dass die Alters kinderpension</w:t>
      </w:r>
    </w:p>
    <w:p>
      <w:r>
        <w:t>10 % der Alterspension beträgt; f ür alle Kinder zusammen jedoch höchstens 50 % . Das BVG sieht demgegenüber vor, dass die Kinderpension 20 % der Altersrente betragen muss ( Art. 17 in Verbindung mit Art. 21 Abs. 2 BVG). Diese BVG- Regelung gilt jedoch nur für die obligatorische Vorsorge. In der wei tergehenden Vorsorge sind reglementarische Bestimmungen, welche die Berech nung der Kinderrente abweichend vom Gesetz regeln, zulässig, sofern betraglich das BVG-Minimum erreicht wird und die allgemeinen Grundsätze Beachtung fin den ( Flückiger in: Schneider/Geiser/ Gächter [Hrsg.] , BVG und FZG, 2010, Art. 17 N 7f. mit Hinweisen ).</w:t>
      </w:r>
    </w:p>
    <w:p>
      <w:r>
        <w:rPr>
          <w:b/>
        </w:rPr>
        <w:t>E. 4.3</w:t>
      </w:r>
    </w:p>
    <w:p>
      <w:r>
        <w:t>Gemäss Vorsor geausweis des Klägers vom 1. Ju n i 2017 ( Urk. 8/23) betrug sein Altersguthaben am 1. Juni 2017 Fr. 153'152.--. Der BVG-Anteil, das heisst der Anteil der obligatorischen Versicherung, belief sich</w:t>
      </w:r>
    </w:p>
    <w:p>
      <w:r>
        <w:t>auf Fr. 70'470.--. Bei einem Umwandlungssatz in der obligatorischen beruflichen Vorsorge im Jahr 2018 von 6,8 % ( Art. 14 Abs. 2 BVG) ergibt sich aus diesem Guthaben ein Anspruch auf eine obligatorische jährliche A ltersrente in Höhe von Fr. 4'791.95 (Fr. 70'470.-- x 0,068)</w:t>
      </w:r>
    </w:p>
    <w:p>
      <w:r>
        <w:t>und eine Kinderrente in Höhe von Fr. 958.40 (Fr. 4'791.95 x 0,2). Die Beklagte richtet dem Kläger jedoch – nur - eine Kinderalterspension in Höhe von jährlich Fr. 907.50 aus ( Urk. 8/28). Die von der Beklagten dem Kläger gestützt auf Art. 32 ihres Vorsorgereglements ausgerichtete Alterskinderpension entspricht somit - selbst bei einer Berechnung gestützt auf das obligatorische Alterskapital</w:t>
      </w:r>
    </w:p>
    <w:p>
      <w:r>
        <w:t>neun Monate vor dem Altersrücktritt - nicht den gesetzlichen Minimalanforde rungen gemäss Art. 17 in Verbindung mit Art. 21 Abs. 2 BVG.</w:t>
      </w:r>
    </w:p>
    <w:p>
      <w:r>
        <w:rPr>
          <w:b/>
        </w:rPr>
        <w:t>E. 4.4</w:t>
      </w:r>
    </w:p>
    <w:p>
      <w:r>
        <w:t>Die Beklagte ist deshalb zu verpflichten, dem Kläger gestützt auf Art. 17 in Ver bindung mit Art. 21 Abs. 2 BVG eine Alterskinderpension in Höhe von 20 % der obligatorischen BVG-Altersrente auszurichten. Für deren betragsmässige Festset zung ist der Anteil BVG-Guthaben am gesamten Altersguthaben im Zeitpunkt des Altersrücktrittes zu ermitteln. Dies obliegt gru ndsätzlich der Beklagten (vgl. B GE 129 V 450).</w:t>
      </w:r>
    </w:p>
    <w:p>
      <w:r>
        <w:rPr>
          <w:b/>
        </w:rPr>
        <w:t>E. 5</w:t>
      </w:r>
    </w:p>
    <w:p>
      <w:r>
        <w:t>Zusammenfassend ist die Klage betreffend den Antrag auf Leistung einer Kapi talauszahlung in Höhe von Fr. 50'00 0. -- abzuweisen und betreffend die Ausrich tung einer Kinderrente in Höhe von Fr. 250.-- in dem Sinne teilweise gutzuheis sen, dass die Beklagte zu verpflichten ist, dem Kläger eine Alterskinderpension in Höhe von 20 % der obligatorischen Altersrente auszurichten . Das Gericht erkennt: 1.</w:t>
      </w:r>
    </w:p>
    <w:p>
      <w:r>
        <w:t>In teilweiser Gutheissung der Klage wird die Beklagte verpflichtet, dem Kläger eine Alterskinderpension in Höhe von 20 % der obligatorischen Altersrente auszurichten. Im Übrigen wird die Klage abgewiesen. 2.</w:t>
      </w:r>
    </w:p>
    <w:p>
      <w:r>
        <w:t>Das Verfahren ist kostenlos. 3.</w:t>
      </w:r>
    </w:p>
    <w:p>
      <w:r>
        <w:t>Zustellung gegen Empfangsschein an: - X.___ - Pensionskasse Y.___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