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BV.2017.00073 vom 7. März 2019</w:t>
      </w:r>
    </w:p>
    <w:p>
      <w:r>
        <w:t>ZH Sozialversicherungsgericht, 2019-03-07, DE</w:t>
      </w:r>
    </w:p>
    <w:p>
      <w:r>
        <w:rPr>
          <w:b/>
        </w:rPr>
        <w:t xml:space="preserve">Quelle: </w:t>
      </w:r>
      <w:r>
        <w:t>https://mcp.opencaselaw.ch/entscheid/zh_sozialversicherungsgericht_BV.2017.00073</w:t>
      </w:r>
    </w:p>
    <w:p>
      <w:r>
        <w:t>FR: ZH_SOZIALVERSICHERUNGSGERICHT BV.2017.00073 du 7 mars 2019</w:t>
      </w:r>
    </w:p>
    <w:p>
      <w:r>
        <w:t>IT: ZH_SOZIALVERSICHERUNGSGERICHT BV.2017.00073 del 7 marzo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1.3</w:t>
      </w:r>
    </w:p>
    <w:p>
      <w:r>
        <w:t>Anspruch auf Invalidenleistungen haben gemäss Art. 23 Abs. 1 des Bundes ge setzes über die berufliche Alters-, Hinterlassenen- und Invalidenvorsorge (BVG) Personen, die im Sinne der Invalidenversicherung zu mindestens 40 % invalid sind und bei Eintritt der Arbeitsunfähigkeit, deren Ursache zur Invalidität geführt hat, versichert waren. Nach Art. 24 Abs. 1 BVG hat der Versicherte Anspruch auf eine volle Invalidenrente, wenn er im Sinne der Invalidenver sicherung min destens zu 70 %, auf eine Dreiviertelsrente , wenn er mindestens zu 60 %, auf eine halbe Rente, wenn er mindestens zur Hälfte und auf eine Viertelsrente , wenn er mindestens zu 40 % invalid ist.</w:t>
      </w:r>
    </w:p>
    <w:p>
      <w:r>
        <w:rPr>
          <w:b/>
        </w:rPr>
        <w:t>E. 1.4</w:t>
      </w:r>
    </w:p>
    <w:p>
      <w:r>
        <w:t>BRB Berufliche Zusatzvorsorge , Urk. 9/8 ) . 4.2</w:t>
      </w:r>
    </w:p>
    <w:p>
      <w:r>
        <w:t>Was die Frage der Bindungswirkung der Feststellungen der IV-Stelle anbelangt, haben die Beklagten im Wesent lichen erklärt, dass ihnen die Verfügung vom 14. April 2016, mit welcher dem Kläger per 1. Juni 2015 eine ganze Rente zuge sprochen wurde, nicht zugestellt worden sei. A nders als der Vorb escheid vom 9. September 2015 sei die Verfügung offenbar versehentlich an eine Adresse mit der Postleitzahl 8050 statt</w:t>
      </w:r>
    </w:p>
    <w:p>
      <w:r>
        <w:t>80</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1 3. Oktober 2017 erhob der Versicherte Klage gegen die</w:t>
      </w:r>
    </w:p>
    <w:p>
      <w:r>
        <w:t>Sammelstiftung BVG der Allianz Suisse Lebensversicherungs-Gesellschaft und die Sammelstiftung Berufliche Zusatzvorsorge der Allianz Suisse Lebensversicherungs-Gesellschaft mit folgendem Rechtsbegehren ( Urk. 1 S. 2): 1.</w:t>
      </w:r>
    </w:p>
    <w:p>
      <w:r>
        <w:t>Die Beklagten seien zu verpflichten, dem Kläger über den 3 1. Mai 2015 hinaus und auf unbestimmte Zeit eine ganze Invalidenrente bzw. die vollen Invalidenleistungen aus der obligatorischen und der überobligatorischen Versicherung zuzüglich</w:t>
      </w:r>
    </w:p>
    <w:p>
      <w:r>
        <w:rPr>
          <w:b/>
        </w:rPr>
        <w:t>E. 2.1</w:t>
      </w:r>
    </w:p>
    <w:p>
      <w:r>
        <w:t>Der Kläger brachte zur Begründung seiner Klage</w:t>
      </w:r>
    </w:p>
    <w:p>
      <w:r>
        <w:t>vor, dass den Beklagten sowohl der Vorbescheid der IV-Stelle vom 9. September 2015 als auch die Verfügung vom 1 4. April 201</w:t>
      </w:r>
    </w:p>
    <w:p>
      <w:r>
        <w:rPr>
          <w:b/>
        </w:rPr>
        <w:t>E. 2.2</w:t>
      </w:r>
    </w:p>
    <w:p>
      <w:r>
        <w:t>Die Beklagten machten demgegenüber geltend, dass ihnen</w:t>
      </w:r>
    </w:p>
    <w:p>
      <w:r>
        <w:t>die Verfügung der IV Stelle vom 1 4. April 2016 infolge falscher Adressierung nicht zu gestellt wor den sei. Sie hätten dann über die Krankentaggeldversicherung Allianz eine Ver fügung der IV-Stelle</w:t>
      </w:r>
    </w:p>
    <w:p>
      <w:r>
        <w:t>erhalten. Zum einen habe es sich dabei jedoch um eine andere Version</w:t>
      </w:r>
    </w:p>
    <w:p>
      <w:r>
        <w:t>gehandelt als diejenige , die dem Kläger zugestellt worden sei. Zum anderen habe der Begründungsteil gefehlt. Es sei in dieser Verfügung einzig darauf hingewiesen worden , dass der Rentenanspruch gestützt auf einen Beschlus s vom 2 0. Oktober 2015 bestehe. Die Beklagten seien daher davon aus gegangen , dass es sich</w:t>
      </w:r>
    </w:p>
    <w:p>
      <w:r>
        <w:t>lediglich um einen Bestätigungs- bzw. Ums etzungsent scheid gehandelt habe, für dessen Anfechtung kein Anlass bestanden habe.</w:t>
      </w:r>
    </w:p>
    <w:p>
      <w:r>
        <w:t>Bereits a ufgrund dieses Eröffnungsfehlers entfal le die Bindungswirkung der Fest stellungen der IV-Stelle . Hinzu komme, dass die Akten der Krankentaggeldversi cherung Allianz dem RAD erst nach der Beschlussfassung vom 2 0. Oktober 2015 – und damit nach bereits erfolgter Festlegung des Invaliditätsgrades – zur Beur teilung vorgelegt worden seien. Der festgestellte Invaliditätsgrad von 100 % beruhe demnach auf einem unvollständig abgeklärten Sachverhalt . Die</w:t>
      </w:r>
    </w:p>
    <w:p>
      <w:r>
        <w:t>IV rechtliche Betrachtung sei</w:t>
      </w:r>
    </w:p>
    <w:p>
      <w:r>
        <w:t>deshalb offensichtlich unhaltbar . Gestützt auf das Gut achten von Dr.</w:t>
      </w:r>
    </w:p>
    <w:p>
      <w:r>
        <w:t>B.___</w:t>
      </w:r>
    </w:p>
    <w:p>
      <w:r>
        <w:t>sei von einer Restarbeitsfähigkeit von 50 % in der bisherigen Tätigkeit auszugehen ( Urk.</w:t>
      </w:r>
    </w:p>
    <w:p>
      <w:r>
        <w:rPr>
          <w:b/>
        </w:rPr>
        <w:t>E. 5</w:t>
      </w:r>
    </w:p>
    <w:p>
      <w:r>
        <w:t>%</w:t>
      </w:r>
    </w:p>
    <w:p>
      <w:r>
        <w:t>Ver zugszins</w:t>
      </w:r>
    </w:p>
    <w:p>
      <w:r>
        <w:t>ab dem 1 3. Oktober 2017 auf den nachzuzahlenden Rentenbe treffnissen auszurichten; 2.</w:t>
      </w:r>
    </w:p>
    <w:p>
      <w:r>
        <w:t>Die Beklagten seien zu verpflichten, über den 3 1. Mai 2015 hinaus die volle Beitrags befreiung aus der obligatorischen und der überobligatorischen Versi che rung zu gewäh ren; u nter Entschädigungsfolgen (zzgl. MWSt ) zu Lasten der Beklagten.</w:t>
      </w:r>
    </w:p>
    <w:p>
      <w:r>
        <w:t>Die Beklagte n beantragte n mit Klageantwort vom 1 0. Januar 2018 die Abwei sung der Klage , soweit darauf einzutreten sei (Urk. 8 ). Mit Verfügung vom 3 0. Januar 2018 ( Urk. 10) zog das Gericht die Akten der Eidgenössischen Invali denversicherung in Sachen des Klägers bei (Urk. 12 ) . Der Kläger hielt mit Replik vom 2 4. April 2018 an Ziff. 1 seines Rechtsbegehren s fest. Die Verzugszinsfor derung modifizierte er dahingehend, dass die Beklagten zu verpflichten seien, die Nachzahlung ab dem 2 0. Mai 2016 zu 1,25 % sowie ab dem 1. Januar 2017 zu 1 % zu verzinsen ( Urk. 15 S. 1 und S. 13). Die Beklagten hielten mit Duplik vom 6. Juli 2018 an ihren Anträgen fest ( Urk. 20 S. 2). Di e Duplik wurde dem Kläger am 9. Juli 2018 zugestellt (Urk. 21 ). 3.</w:t>
      </w:r>
    </w:p>
    <w:p>
      <w:r>
        <w:t>Auf die Vorbringen der Parteien und die eingereichten Akten wird, soweit erfor derlich, im Rahmen der nachfolgenden Erwägungen eingegangen. Das Gericht zieht in Erwägung: 1.</w:t>
      </w:r>
    </w:p>
    <w:p>
      <w:r>
        <w:rPr>
          <w:b/>
        </w:rPr>
        <w:t>E. 6</w:t>
      </w:r>
    </w:p>
    <w:p>
      <w:r>
        <w:t>in verkürz ter Fassung eröffnet worden seien . Die Verfügung sei in Rechtskraft erwachsen. Die Beklagten seien daher an den Rentenentscheid der IV-Stelle gebunden, sofern deren Feststellungen</w:t>
      </w:r>
    </w:p>
    <w:p>
      <w:r>
        <w:t>nicht offensichtlich un halt bar seien. Dies sei zu verneinen. Die IV-Stelle habe sich insbesond ere auch</w:t>
      </w:r>
    </w:p>
    <w:p>
      <w:r>
        <w:t>gewissenhaft mit den von der Allianz (Krankentaggeldversicherung) einge reich ten Unterlagen auseinandergesetzt. PD Dr. med. C.___ , FMH Neurologie, vom Regionalen Ärztlichen Dienst (RAD) habe indessen aus fach ärztlich- neuro logischer S icht eine andere Meinung vertreten als der Vertrauens ar zt der Allianz</w:t>
      </w:r>
    </w:p>
    <w:p>
      <w:r>
        <w:t>( Urk. 1 und</w:t>
      </w:r>
    </w:p>
    <w:p>
      <w:r>
        <w:t>Urk. 15 ).</w:t>
      </w:r>
    </w:p>
    <w:p>
      <w:r>
        <w:rPr>
          <w:b/>
        </w:rPr>
        <w:t>E. 8</w:t>
      </w:r>
    </w:p>
    <w:p>
      <w:r>
        <w:t>und Urk. 20 ). 3. 3.1</w:t>
      </w:r>
    </w:p>
    <w:p>
      <w:r>
        <w:t>RAD-Arzt Dr. C.___</w:t>
      </w:r>
    </w:p>
    <w:p>
      <w:r>
        <w:t>hielt in der Stellungnahme vom 2 6. Juni 2015 fest, dass in Zusammenfassung der vorliegenden Befunde mit den Defiziten eines idiopathi schen Parkinsonsyndroms ein namhafter Gesundheitsschaden bestehe . Ab dem 2 5. Juni 2014 könne von einer 100%igen Arbeitsunfähigkeit auf dem ersten Arbeitsmarkt a usgegangen werden ( Urk. 12/29/ 4). 3.2</w:t>
      </w:r>
    </w:p>
    <w:p>
      <w:r>
        <w:t>Dr. B.___ erklärte im an die Allianz gerichteten Kurzg u tachten vom 2 4. August 2015 , dass die Diagnose eines Parkinsonsyndroms auf neurodegenerativer Grundlage klinisch wie vor allem auch durch die DAT-Scan-Untersuchung klar belegt und nicht in Zweifel zu ziehen sei. Die geklagten Einschränkungen seien gut nachvollziehbar. Eine Bewegungseinschränkung der rechten Hand und eine Verlangsamung und Verminderung der Fingerfertigkeit sei en mit dem Beruf eines Coiffeurs schlecht verein bar. Auch andere Tätigkeiten im Coiffeurbetrieb</w:t>
      </w:r>
    </w:p>
    <w:p>
      <w:r>
        <w:t>wie die Rezeption seien deutlich erschwert. Der Kläger sei etwas verlangsamt, was eben falls zur Krankheit gehöre, und deutlich weniger stressres istent. Ein weiteres Problem stelle die Verlangsamung beim Schreiben dar , so dass telefonische Bestellungen oder Reservierungen nicht mehr genügend schnell in die Agenda übertragen werden könnten. M öglicherweise ebenfalls etwas hinderlich sei der Gesamthabitus des Klägers, wobei hier lediglich eine diskrete Hypomimie zu sehen sei. Die bisherige medikamentöse Therapie sei mit grosser Zurückhaltung angewandt worden. Der Kläger habe erklärt, dass er aufgrund der Angaben in den Beipackzettel n grosse Bedenken habe, noch mehr Medikamente einzu nehmen. Im Gegenzug habe er sich vor allem auf viel Gymnastik, sportliche und ergotherapeutische Übungen verlegt, was von ärztlicher Seite bei einer Parkinson-Krankheit sehr begrüsst werden könne. Allerdings sei noch nie ver sucht worden, die medikamentöse Therapie auszubauen, was wahrscheinlich eine deutlich bessere Handfertigkeit bewirken würde. Unter optimaler Medikation wäre der Kläger als Coiffe ur in einem kleineren Betrieb etwa zu 50 % arbeitsfähig. Letztlich sei dies aber Theorie. Man müsse eine entsprechende medikamentöse Behandlung zuerst versuchen. Grundsätzlich könnte der Kläger auch die admi nistrative Tätigkeit des Coiffeurgeschäfts übernehmen . Bei der Parkinsonerkran kung handle es sich um eine neurodegenerative Erkrankung, das heisse um ein langsames Absterben spezifischer Neurone und somit um eine langsam fort schreitende Verringerung der Hirnfunktionen. Zunächst werde diese als Bewe gungsstörung manifest, später auch durch vegetative Dysfunktionen und durch abnehmende kognitive Funktionen ( Urk. 12/3 9/8-12 ). 3.3</w:t>
      </w:r>
    </w:p>
    <w:p>
      <w:r>
        <w:t>Im Bericht vom 8. Septem b er 2015 zuhanden der Allianz ergänzte Dr. B.___ , dass mit der von ihm vorgeschlagenen Medikation in einem Zeithorizont von ein em bis zwei Monaten mit einer Teilarbeitsfähigkeit gerechn et werden könne. Die Zumutbarkeit eines L- Dopa -Präparat s sei durchaus gegeben. Bezüglich des vor geschlagenen</w:t>
      </w:r>
    </w:p>
    <w:p>
      <w:r>
        <w:t>Dopaminagonist s ( Requip bzw. Ropinorol ) sei die Zumutbarkeit dann gegeben, wenn keine schwereren Nebenwirkungen (Impulskontroll störungen, Einschlafattacken) auftreten würden. Da der Kläger Ropinirol bisher gut toleriert habe und keine schwerwiegenden Nebenwirkungen aufgetreten seien, stünden die Chancen sehr gut, dass auch bei einer weiteren Aufdosierung keine schweren N ebenwirkungen auftreten würden. Mit den Medikamenten könnten zwar die Feinmotilität und die Geschicklichkeit des Klägers deutlich ver bessert werden. Es bleibe jedoch eine gewisse Verlangsamung, welche durch kein Medikamen t verbessert werden könne (Urk. 12/39/13-14). 3.4</w:t>
      </w:r>
    </w:p>
    <w:p>
      <w:r>
        <w:t>Dr. med. D.___ , FMH Neurologie, gab im Bericht vom 1 0. November 2015 zuhanden von Dr. Z.___ an, dass sich beim Kläger nach wie vor eine bradykinetische Veränderung der Motorik zeige, die ihn einseitig rechts deutlich behindere, mit klinisch Rigor und nur geringem Tremor. An und für sich wäre der Kläger sicher geeignet für eine L- Dopa - Behandlung, wobei er sich die s bezüg lich etwas schwer tue. Anscheinend habe er</w:t>
      </w:r>
    </w:p>
    <w:p>
      <w:r>
        <w:t>vor zwei Jahren bei einer anderen Neurologin einen Versuch ohne Erfolg gehabt ( Urk. 12/44/5). 3.5</w:t>
      </w:r>
    </w:p>
    <w:p>
      <w:r>
        <w:t>RAD-Arzt Dr. C.___ erklärte in der Stellun gnahme vom 1 0. Dezember 2015 , dass der Kläger in dieser Konstellation nicht auf eine Dosiserhöhung zu drängen sei. Der mögli che Erfolg sei völlig offen. Demnach bleibe er bei seiner Einschätzung gemäss Stellungnahme vom 2 6. Juni 2015 ( Urk. 12/40/2). 3.6</w:t>
      </w:r>
    </w:p>
    <w:p>
      <w:r>
        <w:t>In der Stellungnahme vom 3 1. März 2016 führte RAD-Arzt Dr. C.___ aus , dass der Versuch einer medikamentösen Therapieoptimierung zu begrüssen sei. Bisher seien Medikationsversuche mit Madopar bis 375 mg/d und Ropin o rol bis 16 mg/d berichtet worden. Diese Ropinoroldosis sei durchaus im höheren Bereich gelegen; dass darunter keine Besserung der Feinmotorik eingetreten sei, deute auf ein schlechtes Ansprechen auf die Medikation hin. Auch unter weiteren Medika tionsversuchen halte er ein Wiedererreichen d er A rbeitsfähigkeit als Coiffeur für ausgeschlossen. In möglichen administrativen Bereichen sei neben der Feinmo torikstörung auch die Bradyphrenie (allgemeine Verlangsamung der mentalen Verarbeitungsgeschwind ig keit) zu beachten. Für höhere Dosierungen wären dann auch Nebenwirkungen zu erwarten. Prognosen über die mögliche Wirksamkeit einer Schadenminderungspflicht könnten in dieser Konstellation nicht gemacht werden ( Urk. 12/45). 4. 4.1</w:t>
      </w:r>
    </w:p>
    <w:p>
      <w:r>
        <w:t>Vorab ist darauf hinzuweisen, dass bei der Beklagten 1</w:t>
      </w:r>
    </w:p>
    <w:p>
      <w:r>
        <w:t>Invalidenrenten versichert sind und bei länger dauernder Arbeits-/Erwerbsunfähigkeit Anspruch auf eine Beitragsbefreiung besteht ( Urk. 9/3 und Art.</w:t>
      </w:r>
    </w:p>
    <w:p>
      <w:r>
        <w:rPr>
          <w:b/>
        </w:rPr>
        <w:t>E. 10</w:t>
      </w:r>
    </w:p>
    <w:p>
      <w:r>
        <w:t>versandt worden . An dieser Adresse würden sich</w:t>
      </w:r>
    </w:p>
    <w:p>
      <w:r>
        <w:t>jedoch k eine Büros der Allianz befinden. In der Folge sei en sie über die Kranken taggeldversicherung Allianz in Besitz der Verfügung vom 14. April 2016 in ver kürzter Fassung (ohne Begründungsteil ) gelangt ( Urk. 8 S. 3 ff. ) .</w:t>
      </w:r>
    </w:p>
    <w:p>
      <w:r>
        <w:t>Vor diesem Hintergrund erscheint es tatsächlich fraglich, ob vorliegend von einer formgültigen E röffnung der Rentenverfügung</w:t>
      </w:r>
    </w:p>
    <w:p>
      <w:r>
        <w:t>-</w:t>
      </w:r>
    </w:p>
    <w:p>
      <w:r>
        <w:t>was</w:t>
      </w:r>
    </w:p>
    <w:p>
      <w:r>
        <w:t>eine der Voraussetzung en für die Bindungswirkung der Feststellungen der IV-Stelle bildet (vgl. E. 1.4) - ausgegangen werden kann. Die Frage der Bindungswirkung muss indes nich t abschliessend geklärt werden, da die von der IV-Stelle verfügte Rentenzusprache per 1. Juni 2015 – wie die nachfolgenden Erwägungen zeigen werden –</w:t>
      </w:r>
    </w:p>
    <w:p>
      <w:r>
        <w:t>auch</w:t>
      </w:r>
    </w:p>
    <w:p>
      <w:r>
        <w:t>bei freier Überprüfung nicht zu beanstanden ist. 4.3</w:t>
      </w:r>
    </w:p>
    <w:p>
      <w:r>
        <w:t>Die IV-Stelle stützte sich in der Verfüg ung vom 1 4. April 2016 ( Urk. 12/46 ) in medizinischer Hinsicht auf die Stellungnahmen von RAD-Arzt Dr. C.___ . Dieser legte in der Stellungnahme vom 2 6. Juni 2015 zunächst dar , dass der Neurologe Dr. med. E.___ von der A.___</w:t>
      </w:r>
    </w:p>
    <w:p>
      <w:r>
        <w:t>Klinik in den Berichten vom 11. Oktober 2013, 8. Mai 2014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