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BV.2017.00062 vom 27. Februar 2019</w:t>
      </w:r>
    </w:p>
    <w:p>
      <w:r>
        <w:t>ZH Sozialversicherungsgericht, 2019-02-27, DE</w:t>
      </w:r>
    </w:p>
    <w:p>
      <w:r>
        <w:rPr>
          <w:b/>
        </w:rPr>
        <w:t xml:space="preserve">Quelle: </w:t>
      </w:r>
      <w:r>
        <w:t>https://mcp.opencaselaw.ch/entscheid/zh_sozialversicherungsgericht_BV.2017.00062</w:t>
      </w:r>
    </w:p>
    <w:p>
      <w:r>
        <w:t>FR: ZH_SOZIALVERSICHERUNGSGERICHT BV.2017.00062 du 27 février 2019</w:t>
      </w:r>
    </w:p>
    <w:p>
      <w:r>
        <w:t>IT: ZH_SOZIALVERSICHERUNGSGERICHT BV.2017.00062 del 27 febbraio 2019</w:t>
      </w:r>
    </w:p>
    <w:p>
      <w:pPr>
        <w:pStyle w:val="Heading2"/>
      </w:pPr>
      <w:r>
        <w:t>Erwägungen</w:t>
      </w:r>
    </w:p>
    <w:p>
      <w:r>
        <w:rPr>
          <w:b/>
        </w:rPr>
        <w:t>E. 1</w:t>
      </w:r>
    </w:p>
    <w:p>
      <w:r>
        <w:t>S. 4 und Urk. 16/4/1). Am 9. Juni 2011 meldete er sich bei der Sozialversicherungsanstalt des Kantons Aargau, IV-Stelle, zum Leistungsbezug an ( Urk. 16/7). Ab September 2011 gewährte die Invaliden versicherung dem Ver sicherten Fr ühinterventionsmassnahmen (Urk. 16/30), in deren Rahmen unter anderem eine Potentialabklärung bei der B.___ ( Urk. 16/37, Urk. 16/39 und Urk. 16/42) und anschliessend bis Ende Juni 2012 im Sinne von beruflichen Massnahmen ein Aufbautraining im ersten Arbeitsmarkt als Verkäufer bei der Firma C.___</w:t>
      </w:r>
    </w:p>
    <w:p>
      <w:r>
        <w:t>durchgeführt wurde (Urk. 16/44, Urk. 16/46, Urk. 16/48 und Urk. 16/52). Gemäss Schlussbericht vom 23. Juli 2012 der D.___ , welche für die Durchführung der Massnahmen zuständig war, schien eine Integration in den Arbeitsmarkt in einem Angestelltenverhältnis trotz Stellenangebot zum da ma ligen Zeitpunkt jedoch keine erfolgsver sprechende Lösung zu sein (Urk. 16/53) . Die beruflichen Mass nahmen wurden aufgrund der Auf nahme einer selbständigen Erwerbstätigkeit durch den Versicherten beendet ( Urk. 16/54). Nach durchge führtem Vor bescheidvefahren ( Urk. 16/55 , Urk. 16/58 und Urk. 16/59 ) verneinte die IV-Stelle mit Verfügung vom</w:t>
      </w:r>
    </w:p>
    <w:p>
      <w:r>
        <w:rPr>
          <w:b/>
        </w:rPr>
        <w:t>E. 1.1</w:t>
      </w:r>
    </w:p>
    <w:p>
      <w:r>
        <w:t>Der 1974 geborene X.___ , welcher 1994 eine Lehre als Detail han delsangestellter abgeschlossen hatte ( Urk. 16/4/18), erwarb 2002 die Matura ( Urk. 16/4/17) und 2008 einen Master of Science in Business Administration der Z.___ ( Urk. 16/ 4/5). Nach Abschluss des Studiums bezog</w:t>
      </w:r>
    </w:p>
    <w:p>
      <w:r>
        <w:t>X.___ vom 15. September 2008 bis 31. Dezember 2008 Taggelder der Arbeitslosenversicherung (Urk. 10/1) und war danach ab dem 1. Januar 2009 in einem Vollzeitarbeits ver hältnis als Revisor bei der damalige n A.___ tätig und dadurch bei der Y.___ -Pensionskasse berufs vorsorgeversichert ( Urk. 16/4/19, Urk. 16/4/1-2,</w:t>
      </w:r>
    </w:p>
    <w:p>
      <w:r>
        <w:t>Urk. 16/3/3). Nachdem X.___ das Arbeits verhältnis per 3 1. August 2009 gekündigt hatte ( Urk. 16/4/19), bezog er vom 1. September 2009 bis am 1 2. Mai 2010 erneut Taggelder der Arbeitslosen ver sicherung ( Urk. 10/1), wodurch er wieder bei der Stiftung Auffangeinrichtung BVG berufsvorsorgeversichert war. In der Folge war er selbständig als Berater tätig (vgl. Urk.</w:t>
      </w:r>
    </w:p>
    <w:p>
      <w:r>
        <w:rPr>
          <w:b/>
        </w:rPr>
        <w:t>E. 2</w:t>
      </w:r>
    </w:p>
    <w:p>
      <w:r>
        <w:t>7. Februar 2013 ( Urk. 16/62) einen Anspruch des Versicherten auf berufliche</w:t>
      </w:r>
    </w:p>
    <w:p>
      <w:r>
        <w:t>Massnahmen und Rentenleistungen. Die vom Ver sicherten dagegen erhobene Beschwerde hiess das Versicherungsgericht des Kantons Aargau mit U rteil vom 2 9. August 2013 (Urk. 16/69) in dem Sinne gut, dass es die Verfügung vom 2 7. Februar 2013 aufhob und die Sache zur Einholung eines psychiatrischen Gutachtens an die IV-Stelle zurückwies. In Nachachtung des Urteils gab die IV-Stelle bei Dr. med. E.___ , Facharzt FMH für Psy chiatrie und Psychotherapie, ein psychiatrisches Gutachten in Auftrag, welches dieser am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