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BV.2017.00038 vom 2. August 2017</w:t>
      </w:r>
    </w:p>
    <w:p>
      <w:r>
        <w:t>ZH Sozialversicherungsgericht, 2017-08-02, DE</w:t>
      </w:r>
    </w:p>
    <w:p>
      <w:r>
        <w:rPr>
          <w:b/>
        </w:rPr>
        <w:t xml:space="preserve">Quelle: </w:t>
      </w:r>
      <w:r>
        <w:t>https://mcp.opencaselaw.ch/entscheid/zh_sozialversicherungsgericht_BV.2017.00038</w:t>
      </w:r>
    </w:p>
    <w:p>
      <w:r>
        <w:t>FR: ZH_SOZIALVERSICHERUNGSGERICHT BV.2017.00038 du 2 août 2017</w:t>
      </w:r>
    </w:p>
    <w:p>
      <w:r>
        <w:t>IT: ZH_SOZIALVERSICHERUNGSGERICHT BV.2017.00038 del 2 agosto 2017</w:t>
      </w:r>
    </w:p>
    <w:p>
      <w:pPr>
        <w:pStyle w:val="Heading2"/>
      </w:pPr>
      <w:r>
        <w:t>Erwägungen</w:t>
      </w:r>
    </w:p>
    <w:p>
      <w:r>
        <w:rPr>
          <w:b/>
        </w:rPr>
        <w:t>E. 10</w:t>
      </w:r>
    </w:p>
    <w:p>
      <w:r>
        <w:t>ff.), dass die im vorliegenden Verfahren säumige Beklagte soweit ersichtlich auch vor- be ziehungsweise ausserprozessual niemals Bestand und/oder Höhe des geltend ge machten Ausstandes in Zweifel gezogen hat, dass gemäss den Bestimmungen für das Prämienkonto (Urk. 2/7) die Prämien grund sätzlich am 1. Januar des Versicherungsjahres fällig werden (Ziffer 1 Abs. 2) und ein verbleibender Restbetrag spätestens vor Ablauf des Versicherungsjahres zu überweisen ist, sodass das per 31. Dezember abgeschlossene Prämienkonto keinen Saldo zulasten des Arbeitgebers aufweist (Ziffer 4 Abs. 1), dass die von der Klägerin in ihre Gesamtforderung integrierten Mahn - ( Urk. 2/1 5, Urk. 2/16 und Urk. 2/17) und Betreibungskosten (Urk. 2/16 und Urk. 2/17) so wi e die eingeklagte Umtriebsentschädigung im Kostenreglement (Urk. 2/8) ihre Grund lage finden (Ziffer 4.6), dass sich die Höhe der eingeforderten Zinsen aus Art. 104 Abs. 1 des Obliga tio nen rechts (OR) sowie aus Ziffer 9.1 des Anschlussvertrags (Urk. 2/4) in Verbindung mit Ziffer 3 Abs. 1 der Bestimmungen für das Prämienkonto (Urk. 2/7) ergibt und die Pflicht zur Leistung von Verzugszinsen auf Verzugszinsen ihre Grund lage in der Abrede, die Zahlungen über ein verzinsliches Kontokorrent abzu wickeln, findet (vgl. Urk. 2/4 und Urk. 2/7), dass keine Anzeichen für durch die Klägerin gemachte Berechnungsfehler oder der gleichen bestehen (vgl. insbesondere die Prämien- und Saldoberechnungen, Urk. 2/13-20), dass die Beklagte somit in Gutheissung der Klage zu verpflichten ist, der Klägerin Fr. 57‘526.15 nebst Zins zu 3,75 % seit dem 1. Januar 2017 zuzüglich Fr. 1‘500.-- vertraglich geschuldete Umtriebsentschädigung zu bezahlen, dass der obsiegenden Klägerin in ihrer Funktion als Trägerin der beruflichen Vorsorge grundsätzlich keine Prozessentschädigung zusteht ( § 34 Abs. 2 GSVGer; BGE 128 V 1 24 E. 5b ) und kein Anlass besteht, vorliegend – trotz des entspre chen den Antrages der Klägerin (Urk. 1 S. 2) – vo n diesem Grundsatz abzuweichen, ist doch die Klägerin durch die vertraglich geschuldete Umtriebsentschädigung für die Kosten des vorliegenden Verfahrens für ihre Umtriebe hinreichend ent schädigt und ist das Verhalten der Beklagten zwar als aussichtslos, aber nicht als mut willig anzusehen (vgl. dazu BGE 128 V 323 ) , erkennt das Gericht: 1.</w:t>
      </w:r>
    </w:p>
    <w:p>
      <w:r>
        <w:t>In Gutheissung der Klage wird die Beklagte verpflichtet, der Klägerin Fr. 57‘526.15 nebst Zins zu 3,7 5 % seit dem 1. Januar 2017 zuzüglich Fr. 1‘500.--</w:t>
      </w:r>
    </w:p>
    <w:p>
      <w:r>
        <w:t>Umtriebsentschädigung zu bezahlen. 2.</w:t>
      </w:r>
    </w:p>
    <w:p>
      <w:r>
        <w:t>Das Verfahren ist kostenlos. 3.</w:t>
      </w:r>
    </w:p>
    <w:p>
      <w:r>
        <w:t>Der Klägerin wird keine Prozessentschädigung zugesprochen. 4.</w:t>
      </w:r>
    </w:p>
    <w:p>
      <w:r>
        <w:t>Zustellung gegen Empfangsschein an: - Sammelstiftung Berufliche Zusatzvorsorge der Allianz Suisse Lebensversicherungs-Gesellschaft - X.___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