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BV.2017.00032 vom 30. November 2018</w:t>
      </w:r>
    </w:p>
    <w:p>
      <w:r>
        <w:t>ZH Sozialversicherungsgericht, 2018-11-30, DE</w:t>
      </w:r>
    </w:p>
    <w:p>
      <w:r>
        <w:rPr>
          <w:b/>
        </w:rPr>
        <w:t xml:space="preserve">Quelle: </w:t>
      </w:r>
      <w:r>
        <w:t>https://mcp.opencaselaw.ch/entscheid/zh_sozialversicherungsgericht_BV.2017.00032</w:t>
      </w:r>
    </w:p>
    <w:p>
      <w:r>
        <w:t>FR: ZH_SOZIALVERSICHERUNGSGERICHT BV.2017.00032 du 30 novembre 2018</w:t>
      </w:r>
    </w:p>
    <w:p>
      <w:r>
        <w:t>IT: ZH_SOZIALVERSICHERUNGSGERICHT BV.2017.00032 del 30 novembre 2018</w:t>
      </w:r>
    </w:p>
    <w:p>
      <w:pPr>
        <w:pStyle w:val="Heading2"/>
      </w:pPr>
      <w:r>
        <w:t>Erwägungen</w:t>
      </w:r>
    </w:p>
    <w:p>
      <w:r>
        <w:rPr>
          <w:b/>
        </w:rPr>
        <w:t>E. 1</w:t>
      </w:r>
    </w:p>
    <w:p>
      <w:r>
        <w:t>Am 15. Februar 2016 starb der 196</w:t>
      </w:r>
    </w:p>
    <w:p>
      <w:r>
        <w:rPr>
          <w:b/>
        </w:rPr>
        <w:t>E. 1.1</w:t>
      </w:r>
    </w:p>
    <w:p>
      <w:r>
        <w:t>Nach Art. 20a Abs. 1 des Bundesgesetzes über die berufliche Alters-, Hinter lasse nen- und Invalidenvorsorge (BVG) kann die Vorsorgeeinrichtung in ihrem Reg le ment neben den Anspruchsberechtigten nach den Artikeln 19 (überlebender Ehe gatte) und 20 (Waisen) begünstigten Personen für die Hinterlassenen leistun gen vorsehen:</w:t>
      </w:r>
    </w:p>
    <w:p>
      <w:r>
        <w:t>a.</w:t>
      </w:r>
    </w:p>
    <w:p>
      <w:r>
        <w:t>natürliche Personen, die vom Versicherten in erheblichem Masse</w:t>
      </w:r>
    </w:p>
    <w:p>
      <w:r>
        <w:t>unterstützt worden sind, oder die Person, die mit diesem in den letzten</w:t>
      </w:r>
    </w:p>
    <w:p>
      <w:r>
        <w:t>fünf Jahren bis zu seinem Tod ununterbrochen eine Lebensgemeinschaft</w:t>
      </w:r>
    </w:p>
    <w:p>
      <w:r>
        <w:t>geführt hat oder die für d en Unterhalt eines oder mehrerer gemeinsamer</w:t>
      </w:r>
    </w:p>
    <w:p>
      <w:r>
        <w:t>Kinder aufkommen muss;</w:t>
      </w:r>
    </w:p>
    <w:p>
      <w:r>
        <w:t>b.</w:t>
      </w:r>
    </w:p>
    <w:p>
      <w:r>
        <w:t>beim Fehlen von begünstigten Personen nach Buchstabe a: die Kinder</w:t>
      </w:r>
    </w:p>
    <w:p>
      <w:r>
        <w:t>des Verstorbenen, welche die Voraussetzungen nach Artikel 20 nicht</w:t>
      </w:r>
    </w:p>
    <w:p>
      <w:r>
        <w:t>erfüllen, die Eltern oder die Geschwister;</w:t>
      </w:r>
    </w:p>
    <w:p>
      <w:r>
        <w:t>c.</w:t>
      </w:r>
    </w:p>
    <w:p>
      <w:r>
        <w:t>beim Fehlen von begünstigten Personen nach den Buchstaben a und b:</w:t>
      </w:r>
    </w:p>
    <w:p>
      <w:r>
        <w:t>die übrigen gesetzlichen Erben, unter Ausschluss des Gemeinwesens, im</w:t>
      </w:r>
    </w:p>
    <w:p>
      <w:r>
        <w:t>Umfang:</w:t>
      </w:r>
    </w:p>
    <w:p>
      <w:r>
        <w:rPr>
          <w:b/>
        </w:rPr>
        <w:t>E. 3</w:t>
      </w:r>
    </w:p>
    <w:p>
      <w:r>
        <w:t>geborene B.___ (Todes urkunde vom 24. Februar 2016 Urk. 2/4 ). Aufgrund des Todesfalls</w:t>
      </w:r>
    </w:p>
    <w:p>
      <w:r>
        <w:t>erhoben sowohl A.___,</w:t>
      </w:r>
    </w:p>
    <w:p>
      <w:r>
        <w:t>ehemalige Lebenspartnerin, als auch der Sohn des Verstorbenen, X.___,</w:t>
      </w:r>
    </w:p>
    <w:p>
      <w:r>
        <w:t>Anspruch auf ein</w:t>
      </w:r>
    </w:p>
    <w:p>
      <w:r>
        <w:t>Todesfallkapital bei der Vorsorgestiftung Z.___</w:t>
      </w:r>
    </w:p>
    <w:p>
      <w:r>
        <w:t>(Urk. 6 S. 2).</w:t>
      </w:r>
    </w:p>
    <w:p>
      <w:r>
        <w:t>Die Vorsorgestiftung Z.___</w:t>
      </w:r>
    </w:p>
    <w:p>
      <w:r>
        <w:t>ersuchte deshalb beim Bezirksgericht Zürich um Hinterlegung der auf zwei Konten des Verstorbenen liegenden Guthaben von Fr. 16'635.02 und Fr. 55'901.65. Diesem Gesuch wurde mit Urteil des Bezirksgerichts vom 6. Feb ruar 2017 stattgegeben (Urk. 2/1 S. 2). 2.</w:t>
      </w:r>
    </w:p>
    <w:p>
      <w:r>
        <w:t>Am 5. April 2017 reichte X.___ Klage gegen die Vorsorge stiftung Z.___</w:t>
      </w:r>
    </w:p>
    <w:p>
      <w:r>
        <w:t>ein und beantragte (Urk. 1 S. 2): „1.</w:t>
      </w:r>
    </w:p>
    <w:p>
      <w:r>
        <w:t>Die Beklage sei zu verpflichten, das bei der Bezirksgerichtskasse Zürich hin terlegte Guthaben von total CHF 72'536.67 aus Konto NR. 0232 511583.FIF und aus Konto Nr. 0232 511583.F9M des verstorbenen B.___ samt Zins zu 5 % seit Klageerhebung dem Kläger zu bezahlen.</w:t>
      </w:r>
    </w:p>
    <w:p>
      <w:r>
        <w:t>unter Kosten- und Entschädigungsfolge zulasten der Beklagten.“ Mit Klageantwort vom 24. Mai 2017 beantragte die Beklagte, es sei A.___ zum Verfahren beizuladen und Frist zur Klageantwort anzusetzen, sobald die Beigeladene ihre Klageantwort eingereicht habe (Urk. 6 S. 2).</w:t>
      </w:r>
    </w:p>
    <w:p>
      <w:r>
        <w:t>Mit Verfügung vom 30. Mai 2017 (Urk. 8) wurde</w:t>
      </w:r>
    </w:p>
    <w:p>
      <w:r>
        <w:t>A.___</w:t>
      </w:r>
    </w:p>
    <w:p>
      <w:r>
        <w:t>zum Pro zess beigeladen. Diese reichte am 4. Oktober 2017 eine Stellungnahme ein und beantragte (Urk. 16 S. 2), die Klage sei abzuweisen und es sei ihr für das Verfahren die unentgeltliche Rechtspflege zu gewähren.</w:t>
      </w:r>
    </w:p>
    <w:p>
      <w:r>
        <w:t>Mit Replik vom 27. November 2017 reduzierte der Kläger sein bisheriges Rechts begehren um die Verzug szinsen</w:t>
      </w:r>
    </w:p>
    <w:p>
      <w:r>
        <w:t>und</w:t>
      </w:r>
    </w:p>
    <w:p>
      <w:r>
        <w:t>hielt an den übrigen Anträgen fest (Urk. 21). Die Beklagte verzichtete am 7. Dezember 2017 (Urk. 23) auf das Erstatten einer Duplik. Die Beigeladene hielt in ihrer Stellungnahme «Duplik» vom 7. Februar 2018 (Urk. 27) an ihrem bisherigen Rechtsbegehren fest. Dies wurde den anderen Verfahrensbeteiligten am 1 2. Februar 2018 zur Kenntnis gebracht (Urk. 28).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