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BV.2016.00107 vom 23. November 2017</w:t>
      </w:r>
    </w:p>
    <w:p>
      <w:r>
        <w:t>ZH Sozialversicherungsgericht, 2017-11-23, DE</w:t>
      </w:r>
    </w:p>
    <w:p>
      <w:r>
        <w:rPr>
          <w:b/>
        </w:rPr>
        <w:t xml:space="preserve">Quelle: </w:t>
      </w:r>
      <w:r>
        <w:t>https://mcp.opencaselaw.ch/entscheid/zh_sozialversicherungsgericht_BV.2016.00107</w:t>
      </w:r>
    </w:p>
    <w:p>
      <w:r>
        <w:t>FR: ZH_SOZIALVERSICHERUNGSGERICHT BV.2016.00107 du 23 novembre 2017</w:t>
      </w:r>
    </w:p>
    <w:p>
      <w:r>
        <w:t>IT: ZH_SOZIALVERSICHERUNGSGERICHT BV.2016.00107 del 23 novembre 2017</w:t>
      </w:r>
    </w:p>
    <w:p>
      <w:pPr>
        <w:pStyle w:val="Heading2"/>
      </w:pPr>
      <w:r>
        <w:t>Erwägungen</w:t>
      </w:r>
    </w:p>
    <w:p>
      <w:r>
        <w:rPr>
          <w:b/>
        </w:rPr>
        <w:t>E. 1</w:t>
      </w:r>
    </w:p>
    <w:p>
      <w:r>
        <w:t>X.___ , geboren 1961, arbeitet sei dem 1. April 2016 bei der Y.___ ( Switzerland ) und ist als deren Mitarbeiter bei der BVG-Sammelstiftung Swiss Life vorsorgeversichert (Urk. 6/4). Am 3. Oktober 2016 teilte die Sammelstiftung dem Versicherten mit, er könne per 1. November 2016 maximal den Betrag von Fr. 40‘761.25 aus seinem Altersgut haben zum Erwerb von selbst genutztem Wohneigentum beziehen (Urk. 6/5). In der Folge stellte X.___ bei der Sammelstiftung einen Antrag auf Vorbezug eines Teils seines Altersguthabens zum Erwerb eines Fertighauses der Firma Z.___ (Urk. 2/1-2, Urk. 6/9). Die Sammelstif tung beantwortete seine Anfrage mit Schreiben vom 21. November 2016 abschlägig, da für ein Wohnmobil, Mobilheim oder Wohnwagen kein Vorbezug aus dem Altersguthaben der beruflichen Vorsorge getätigt werden könne (Urk. 2/3 = Urk. 6/7).</w:t>
      </w:r>
    </w:p>
    <w:p>
      <w:r>
        <w:rPr>
          <w:b/>
        </w:rPr>
        <w:t>E. 1.1</w:t>
      </w:r>
    </w:p>
    <w:p>
      <w:r>
        <w:t>Gemäss Art. 30c Abs. 1 des Bundesgesetzes über die berufliche Alters-, Hinterlas senen- und Invalidenvorsorge (BVG) kann der Versicherte bis drei Jahre vor Entstehung des Anspruchs auf Altersleistungen von seiner Vorsorge einrichtung einen Betrag für Wohneigentum zum eigenen Bedarf geltend machen. Der Versicherte darf das mit dem Vorbezug erworbene Wohneigentum nur unter gewissen Bedingungen veräussern (Art. 30e Abs. 1 BVG). Die Ver äusserungsbeschränkung ist im Grundbuch anzumerken (Art. 30e Abs. 2 Satz 1 BVG).</w:t>
      </w:r>
    </w:p>
    <w:p>
      <w:r>
        <w:rPr>
          <w:b/>
        </w:rPr>
        <w:t>E. 1.2</w:t>
      </w:r>
    </w:p>
    <w:p>
      <w:r>
        <w:t>Die Mittel der beruflichen Vorsorge dürfen gemäss Art. 1 Abs. 1 der Verordnung über die Wohneigentumsförderung mit Mitteln der beruflichen Vorsorge (WEFV) für Erwerb und Erstellung von Wohneigentum ( lit . a), Beteiligungen am Wohneigentum ( lit . b) und die Rückzahlung von Hypothekardarlehen ( lit . c) verwendet werden. Gleichzeitig dürfen sie nur für ein Objekt verwendet werden (Art. 1 Abs. 2 WEFV). Zulässige Objekte des Wohneigentums sind die Wohnung und das Einfamilienhaus (Art. 2 Abs. 1 WEFV). Zulässige Formen des Wohnei gentums sind das Eigentum; das Miteigentum, namentlich Stockwerk eigentum; das Eigentum der versicherten Person mit ihrem Ehegatten oder mit der einge tragenen Partnerin oder dem eingetragenen Partner zu gesamter Hand und das selbständig und dauernde Baurecht (Art. 2 Abs. 2 WEFV). Zulässige Beteiligun gen sind der Erwerb von Anteilscheinen an einer Wohnbauge nossenschaft; der Erwerb von Aktien einer Mieter-Aktiengesellschaft und die Gewährung von partiarischen Darlehen an einen gemeinnützigen Wohnbau träger (Art. 3 WEFV). Als Eigenbedarf gilt die Nutzung durch die versicherte Person an ihrem Wohn sitz oder an ihrem gewöhnlichen Aufenthalt (Art. 4 Abs. 1 WEFV).</w:t>
      </w:r>
    </w:p>
    <w:p>
      <w:r>
        <w:rPr>
          <w:b/>
        </w:rPr>
        <w:t>E. 1.3</w:t>
      </w:r>
    </w:p>
    <w:p>
      <w:r>
        <w:t>Laut den Mitteilungen des Bundesamtes für Sozialversicherungen (BSV) über die berufliche Vorsorge Nr. 119 Rz 757 vom 6. Juli 2010 fallen Wohnmobile, Mobilheime oder Wohnwagen nicht unter die zulässigen Objekte des Wohn ei gentums gemäss Art. 2 Abs. 1 WEFV und sind keine Immobilien im Sinne des Schweizerischen Zivilgesetzbuches (ZGB). Art. 655 Abs. 1 ZGB halte fest: «Gegenstand des Grundeigentums sind die Grundstücke.» Nach Abs. 2 des glei chen Artikels seien Grundstücke im Sinne des ZGB: 1. die Liegenschaften; 2. die in das Grundbuch aufgenommenen selbständigen und dauernden Rechte; 3. die Bergwerke; 4. die Miteigentumsanteile an Grundstücken. Gemäss Art. 656 Abs. 1 ZGB bedürfe es zum Erwerb des Grundeigentums der Eintragung in das Grundbuch. Es gelte aber der Grundsatz, dass der Vorbezug für den Erwerb, die Erstellung oder die Renovation von Wohneigentum eingesetzt werden könne (vgl. Mitteilungen über die berufliche Vorsorge Nr. 55 S. 2). Da Wohnmobile, Mobilheime oder Wohnwagen keine Grundstücke seien, könnten sie nicht ins Grundbuch eingetragen werden, und die Anmerkung der Veräusserungs be schränkung im Grundbuch sei auch nicht möglich (Art. 30e BVG). Ohne Grund bucheintrag oder -anmerkung laufe die Vorsorgeeinrichtung indes Gefahr, keine Rückerstattung zu erlangen, wenn die versicherte Person das Wohnmobil, das Mobilheim oder den Wohnwagen wieder verkaufe. Der Vorbezug sei auch aus geschlossen für den Erwerb des Grundstückes, auf dem sich das Wohnmobil, das Mobilheim oder der Wohnwagen befinde. Auch nicht zulässig sei der Vor bezug aus der 2. Säule zum Erwerb eines Bootes (oder eines Flugzeugs), da es sich nicht um eine Immobilie handle. 2.</w:t>
      </w:r>
    </w:p>
    <w:p>
      <w:r>
        <w:rPr>
          <w:b/>
        </w:rPr>
        <w:t>E. 2</w:t>
      </w:r>
    </w:p>
    <w:p>
      <w:r>
        <w:t>Am 13. Dezember 2016 erhob X.___ gegen die Sammelstif tung Klage mit dem Antrag, es sei diese zu verpflichten, ihm einen Vorbezug in der Höhe von Fr. 40‘000.-- für den Erwerb von Wohneigentum zu gewähren (Urk. 1). Mit Klageantwort vom 9. Januar 2017 ersuchte die Beklagte um Abweisung der Klage (Urk. 5). Der Kläger hielt mit Replik vom 20. Januar 2017 vollumfänglich an seinem Antrag fest (Urk. 10). Die Beklagte verzichtete am 1. Februar 2017 auf Duplik (Urk. 13), was dem Kläger am 6. Februar 2017 mit geteilt wurde (Urk. 14).</w:t>
      </w:r>
    </w:p>
    <w:p>
      <w:r>
        <w:rPr>
          <w:b/>
        </w:rPr>
        <w:t>E. 2.1</w:t>
      </w:r>
    </w:p>
    <w:p>
      <w:r>
        <w:t>Der Kläger macht zur Begründung seiner Klage geltend, als Wohnung gelte jeder umschlossene Raum, der zum Wohnen oder Schlafen benutzt werde, gleichgültig, ob er in einem Wohn- oder einem Nichtwohngebäude liege. Damit fielen auch möblierte Zimmer und überwiegend ortsfeste Wohnwagen unter den Wohnungsbegriff. Ein Einfamilienhaus sei ein Gebäude, das als Wohnhaus für eine Familie diene und eine Wohneinheit enthalte. Ein Mobilheim sei eine transportable Wohneinheit, deren Einrichtung mit einer Wohnung vergleichbar sei. Im Gegensatz zum Wohnwagen habe es keine Strassenzulassung und könne nur per Lastkraftwagen über längere Strecken transportiert werden. Zum Bewe gen auf einem Campingplatz oder einer Wohnwagensiedlung besitze ein Mobil heim eine einfache Achse ohne Bremse. Mobilhomes seien transportable Wohneinheiten ohne Achse. Sie könnten nachträglich noch bewegt werden, was aber je nach Bauart mehr oder weniger aufwändig sei. Fertigbauhäuser könnten weder mit Wohnmobilen noch mit Wohnwagen gleichgesetzt werden. Der Ein trag einer Veräusserungsbeschränkung im Grundbuch sei nicht Voraus setzung zur Gewährung eines Vorbezugs. Dies werde bei Wohneigentum im Ausland nicht verlangt, sondern es genüge eine amtliche oder notarielle Beglaubigung für den Umstand, dass die Vorsorgemittel tatsächlich für Wohneigentum ver wendet worden seien. Insgesamt ergebe sich, dass die Gewährung eines Vorbe zugs nicht an einen Grundbucheintrag geknüpft werden könne (Urk. 1).</w:t>
      </w:r>
    </w:p>
    <w:p>
      <w:r>
        <w:t>Replicando führte der Kläger aus, er beabsichtige mit dem Vorbezug ein Fertig haus zu kaufen und dieses auf einem Mobilheim-Park, einem Camping platz oder in einer Ferienhaussiedlung aufzustellen. Dies werde auch sein Wohnsitz sein. Wenn ein Vorbezug für Mobilheime nicht zulässig sei, müsse man zwin gend wissen, wie ein Mobilheim definiert werde. Es stehe nicht im Gesetz, dass ein Fertighaus auch ein Mobilheim sei (Urk. 10).</w:t>
      </w:r>
    </w:p>
    <w:p>
      <w:r>
        <w:rPr>
          <w:b/>
        </w:rPr>
        <w:t>E. 2.2</w:t>
      </w:r>
    </w:p>
    <w:p>
      <w:r>
        <w:t>Die Beklagte macht dagegen geltend, das BSV habe in seiner Mitteilung Nr. 119 Rz 757 festgehalten, dass Wohnmobile, Mobilheime und Wohnwagen nicht unter die zulässigen Objekte des Wohneigentums fallen würden, da es sich nicht um Grundstücke im Sinne des ZGB handle. Das Mobilheim könne nicht im Grundbuch aufgenommen werden, da es weder eine Liegenschaft noch ein Mit eigentumsanteil im Sinne von Art. 655 Abs. 2 ZGB sei. Die Aufnahme im Grundbuch sei aber Voraussetzung dafür, dass eine Grundbuchsperre einge tra gen und der Vorsorgezweck auf die vom Gesetzgeber vorgesehene Weise gesi chert werden könne. Der Hinweis des Klägers, dass im Ausland die Anmerkung einer Veräusserungsbeschränkung im Grundbuch nicht möglich sei, sei zwar richtig, greife im Falle des Klägers jedoch nicht, da er in der Schweiz Wohnsitz habe und bei ihm somit zwingend eine Veräusserungsbeschränkung im Grund buch einzutragen sei. Sodann sei auch im Ausland ein Vorbezug nur für Grund eigentum zulässig, nicht hingegen für Mobilheime. Dementsprechend könne der vom Kläger beantragte Vorbezug nicht gewährt werden (Urk. 5).</w:t>
      </w:r>
    </w:p>
    <w:p>
      <w:r>
        <w:rPr>
          <w:b/>
        </w:rPr>
        <w:t>E. 3</w:t>
      </w:r>
    </w:p>
    <w:p>
      <w:r>
        <w:t>Auf die Vorbringen der Parteien und die eingereichten Akten wird, soweit erfor derlich, in den nachfolgenden Erwägungen eingegangen. Das Gericht zieht in Erwägung: 1.</w:t>
      </w:r>
    </w:p>
    <w:p>
      <w:r>
        <w:rPr>
          <w:b/>
        </w:rPr>
        <w:t>E. 3.1</w:t>
      </w:r>
    </w:p>
    <w:p>
      <w:r>
        <w:t>Soweit der Kläger geltend macht, er wolle den Vorbezug für ein Fertighaus täti gen, welches gar nicht unter die Kategorie der Mobilheime falle, ist festzuhal ten, dass es für die Frage, ob es sich um eine mobile Baute handelt, tatsächlich nicht wesentlich ist, ob das Haus an einem anderen Ort vorgefertigt und danach auf einem Grundstück aufgestellt wird oder ob die Fertigung des Hauses erst auf dem Grundstück selbst stattfindet. Entscheidend ist vielmehr, ob die Baute mobil bleibt oder ob sie fest mit dem Grundstück verbunden wird, wobei auch Fertigbauhäuser fest mit dem Boden verbunden werden und vor Ort gefertigte Häuser mobil bleiben können.</w:t>
      </w:r>
    </w:p>
    <w:p>
      <w:r>
        <w:t>Gemäss Art. 677 Abs. 1 ZGB behalten Hütten, Buden, Baracken und derglei chen, wenn sie ohne Absicht bleibender Verbindung auf fremden Boden aufge richtet sind, ihren besonderen Eigentümer (Fahrnisbauten). Ihr Bestand wird nicht in das Grundbuch eingetragen (Art. 677 Abs. 2 ZGB).</w:t>
      </w:r>
    </w:p>
    <w:p>
      <w:r>
        <w:t>Bauwerke und andere Vorrichtungen, die auf fremden Boden eingegraben, aufge mauert oder sonstwie dauernd auf oder unter der Bodenfläche mit dem Grundstücke verbunden sind, können einen besonderen Eigentümer haben, wenn ihr Bestand als Dienstbarkeit in das Grundbuch eingetragen ist (Art. 675 Abs. 1 ZGB). Die Begründung eines Baurechtes ist nur für Dauerbauten möglich ( BGE 98 II 199 E . 3), somit nicht für mobile Bauten.</w:t>
      </w:r>
    </w:p>
    <w:p>
      <w:r>
        <w:t>Selbst wenn der Transport des vom Kläger zum Erwerb vorgesehenen Hauses im Vergleich zu einem Wohnwagen oder Wohnmobil nur unter erschwerten Bedin gungen möglich ist, so handelt es sich trotzdem um eine Fahrnisbaute im Sinne von Art. 677 ZGB, welche nicht im Grundbuch eingetragen werden kann.</w:t>
      </w:r>
    </w:p>
    <w:p>
      <w:r>
        <w:rPr>
          <w:b/>
        </w:rPr>
        <w:t>E. 3.2</w:t>
      </w:r>
    </w:p>
    <w:p>
      <w:r>
        <w:t>Es ist somit übereinstimmend mit den Ausführungen des BSV in den Mitteilun gen Nr. 119 Rz 757 festzuhalten, dass mobile Bauten bzw. Fahrnis bauten gemäss Art. 677 ZGB keine Grundstücke im Sinne von Art. 655 Abs. 2 ZGB sind, welche ins Grundbuch eingetragen werden können bzw. werden müssen (Art. 943 Abs. 1 ZGB). Demnach ist die in Art. 30e BVG als Sicherungs mass nahme vorgesehene Eintragung einer Veräusserungsbeschränkung im Grund buch nicht möglich. Es trifft wohl zu, dass in Bezug auf ein im Ausland gelege nes Verwendungsobjekt auf weitergehende Sicherungsmittel verzichtet wird und eine versicherte Person mit Wohnsitz im Ausland vor der Auszahlung des Vor bezugs lediglich nachzuweisen hat, dass sie die Mittel der beruflichen Vorsorge für ihr Wohneigentum verwendet (Art. 30e Abs. 5 BVG). Diese Ungleichbe handlung ist nicht sachlich begründet, sondern fusst primär auf Gründen der Praktikabilität (BGE 138 V 495 E. 2.2.4 mit Hinweisen). Der Verzicht auf die Eintragung einer Veräusserungsbeschränkung auf ausländi schem Wohneigen tum lässt aber nicht darauf schliessen, dass der Gesetzgeber den Willen gehabt hat, auch für Wohneigentum in der Schweiz auf die Eintragung einer Ver äusserungsbeschränkung zu verzichten und einen Vorbezug für nicht im Grundbuch eingetragene Wohnobjekte zuzulassen. Ebenso wenig bedeutet der Verzicht auf den Eintrag einer Veräusserungs beschränkung für Wohneigentum im Ausland, dass für solches Wohneigentum ein Vorbezug getätigt werden könnte für Wohnungen und Häuser, welche in der Schweiz nicht ins Grundbuch einzutragen wären. Mithin ist ein Vorbezug für nicht ins Grundbuch einzutra gende Mobilhäuser auch für im Ausland liegende Objekte nicht möglich.</w:t>
      </w:r>
    </w:p>
    <w:p>
      <w:r>
        <w:rPr>
          <w:b/>
        </w:rPr>
        <w:t>E. 3.3</w:t>
      </w:r>
    </w:p>
    <w:p>
      <w:r>
        <w:t>Zusammenfassend ist damit festzuhalten, dass der Kläger keinen Anspruch auf Gewährung eines Vorbezugs aus Mitteln der beruflichen Vorsorge für die Kos ten eines Fertigbauhauses der Firma Z.___ hat, solange es sich dabei um eine mobile, nicht ins Grundbuch eingetragene Fahrnisbaute handelt. Dies führt zur Abweisung der Klage.</w:t>
      </w:r>
    </w:p>
    <w:p>
      <w:r>
        <w:rPr>
          <w:b/>
        </w:rPr>
        <w:t>E. 4</w:t>
      </w:r>
    </w:p>
    <w:p>
      <w:r>
        <w:t>Zustellung gegen Empfangsschein an: - X.___ - BVG-Sammelstiftung Swiss Life - Bundesamt für Sozialversicherungen</w:t>
      </w:r>
    </w:p>
    <w:p>
      <w:r>
        <w:rPr>
          <w:b/>
        </w:rPr>
        <w:t>E. 4.1</w:t>
      </w:r>
    </w:p>
    <w:p>
      <w:r>
        <w:t>Da § 33 Abs. 1 des Gesetzes über das Sozialversicherungsgericht ( GSVGer ) in Verbindung mit Art. 73 Abs. 2 BVG ein in der Regel kostenloses Verfahren garantiert und dem unterliegenden Kläger keine mut willige oder leichtsin nige Prozessführung vorzuwerfen ist (e contrario § 33 Abs. 2 GSVGer ), sind keine Gerichtskosten zu erheben.</w:t>
      </w:r>
    </w:p>
    <w:p>
      <w:r>
        <w:rPr>
          <w:b/>
        </w:rPr>
        <w:t>E. 4.2</w:t>
      </w:r>
    </w:p>
    <w:p>
      <w:r>
        <w:t>Im Verfahren der Verwaltungsgerichtsbeschwerde darf obsiegenden Behörden oder mit öffentlichrechtlichen Aufgaben betrauten Organisationen in der Regel keine Parteientschädigung zugesprochen werden. In Anwendung dieser Bestimmung hat das Bundesgericht der Schweizerischen Unfallversicherungs anstalt (SUVA) und den privaten UVG-Versicherern sowie - von Sonderfällen abgesehen - den Krankenkassen keine Parteientschädigungen zugesprochen, weil sie als Organisationen mit öffentlichrechtlichen Aufgaben zu qualifizie ren sind (BGE 112 V 361 E. 6 mit Hinweisen). Das hat grundsätzlich auch für Trä gerinnen oder Versicherer der beruflichen Vorsorge gemäss BVG zu gelten (BGE 126 V 143 E. 4a mit Hinweis). Der obsiegenden Beklagten ist daher keine Par teientschädigung zu Lasten des Klägers zuzusprechen. Das Gericht erkennt: 1.</w:t>
      </w:r>
    </w:p>
    <w:p>
      <w:r>
        <w:t>Die Klage wird abgewiesen. 2.</w:t>
      </w:r>
    </w:p>
    <w:p>
      <w:r>
        <w:t>Das Verfahren ist kostenlos. 3.</w:t>
      </w:r>
    </w:p>
    <w:p>
      <w:r>
        <w:t>Der Beklagten wird keine Prozessentschädigung zugesprochen.</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