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BV.2016.00067 vom 27. Oktober 2016</w:t>
      </w:r>
    </w:p>
    <w:p>
      <w:r>
        <w:t>ZH Sozialversicherungsgericht, 2016-10-27, DE</w:t>
      </w:r>
    </w:p>
    <w:p>
      <w:r>
        <w:rPr>
          <w:b/>
        </w:rPr>
        <w:t xml:space="preserve">Quelle: </w:t>
      </w:r>
      <w:r>
        <w:t>https://mcp.opencaselaw.ch/entscheid/zh_sozialversicherungsgericht_BV.2016.00067</w:t>
      </w:r>
    </w:p>
    <w:p>
      <w:r>
        <w:t>FR: ZH_SOZIALVERSICHERUNGSGERICHT BV.2016.00067 du 27 octobre 2016</w:t>
      </w:r>
    </w:p>
    <w:p>
      <w:r>
        <w:t>IT: ZH_SOZIALVERSICHERUNGSGERICHT BV.2016.00067 del 27 ottobre 2016</w:t>
      </w:r>
    </w:p>
    <w:p>
      <w:pPr>
        <w:pStyle w:val="Heading2"/>
      </w:pPr>
      <w:r>
        <w:t>Erwägungen</w:t>
      </w:r>
    </w:p>
    <w:p>
      <w:r>
        <w:rPr>
          <w:b/>
        </w:rPr>
        <w:t>E. 1</w:t>
      </w:r>
    </w:p>
    <w:p>
      <w:r>
        <w:t>X.___ , geboren 1952, war als Verwaltungsangestellte beim Y.___ und später bei der Z.___ tätig und in dieser Eigenschaft</w:t>
      </w:r>
    </w:p>
    <w:p>
      <w:r>
        <w:t>bei der BVK Personal vorsorge des Kantons Zürich (BVK) berufsvorsorgeversichert. Per 30. Juni 2016 trat sie alters halber zurück (Urk. 5/2 f.). Am 2 2. Februar</w:t>
      </w:r>
    </w:p>
    <w:p>
      <w:r>
        <w:t>2016 beantragte sie einen teilweisen Kapitalbezug der Altersleistungen von Fr. 100‘000.-- (Urk. 5/5). Mit Entscheid vom</w:t>
      </w:r>
    </w:p>
    <w:p>
      <w:r>
        <w:rPr>
          <w:b/>
        </w:rPr>
        <w:t>E. 1.1</w:t>
      </w:r>
    </w:p>
    <w:p>
      <w:r>
        <w:t>Nach Art. 13 Abs. 1 lit. a des Bundesgesetzes über die berufliche Alters-, Hinter lassenen- und Inva lidenvorsorge (BVG) haben Frauen , die das [62.] (heute 64. Altersjahr, Art. 62a Abs. 1 der Verordnung über die berufliche Alters-, Hin ter l assenen- und Invalidenvorsorge (BVV 2) in Verbindung mit Art. 21 Abs. 1 lit. b des Bundesgesetzes über die Alters- und Hinterlassenenver siche rung (AHVG) zurückgelegt haben, Anspruch auf Altersleistungen.</w:t>
      </w:r>
    </w:p>
    <w:p>
      <w:r>
        <w:rPr>
          <w:b/>
        </w:rPr>
        <w:t>E. 1.2</w:t>
      </w:r>
    </w:p>
    <w:p>
      <w:r>
        <w:t>Die Altersrente wird in Prozenten des Altersguthabens (Umwandlungssatz) berech net, welches der Versicherte bei Erreichen des Rentenalters erworben hat. Der Mindestumwandlungssatz beträgt 6.8 Prozent für das ordentliche Renten alter (Art. 14 BVG).</w:t>
      </w:r>
    </w:p>
    <w:p>
      <w:r>
        <w:rPr>
          <w:b/>
        </w:rPr>
        <w:t>E. 1.3</w:t>
      </w:r>
    </w:p>
    <w:p>
      <w:r>
        <w:t>I m Bereich der beruflichen Vorsorge werden i n der Praxis drei verschiedene Modelle bezüglich der Behandlung der obligatorischen und überobligatorischen Vorsorgeleistungen unterschieden: die umhüllende Vorsorgeeinrichtung, die orga ni satorisch gesplittete Vorsorgeeinrichtung und die rechtlich gesplittete Vorsorgeeinrichtung. Das Modell der rechtlich gesplittete n Vorsorge besteht in der Form zweier rechtlich voneinander unabhängiger Vorsorgeeinrichtungen, in der Regel BVG-Vorsorgeeinrichtung einerseits und überobligatorische Zusatz- oder Kadervorsorgeeinrichtung andererseits. Die beiden Vorsorgeeinrichtungen sind eigenständige Rechtssubjekte und eine gegenseitige Anrechnung von Leis tungen kann nicht stattfinden . Bei</w:t>
      </w:r>
    </w:p>
    <w:p>
      <w:r>
        <w:t>der organisatorisch gesplitteten Vorsorge werden die obligatorischen und überobligatorischen Leistungen organisatorisch getrennt voneinander mit unterschiedlichen Parametern festgelegt. Das heisst, das nämliche Altersguthaben dient als Basis sowohl für die obligatorischen als auch die überobligatorischen Leistungen. Ändert sich das Guthaben, ändert sich auch die Höhe der beiden Leistungen. Bei der umhüllenden Vorsorge werden die reg lementarischen Leistungen für die obligatorische und überobligatorische Vorsorge gesamthaft festgelegt. Für die Leistungsfestsetzung werden einheitli che Parameter (Umwandlungssatz, technischer Zinssatz) gewählt.</w:t>
      </w:r>
    </w:p>
    <w:p>
      <w:r>
        <w:t>Die obligato rischen Leistungen werden in diesem Fall in den Gesamtleistungen lediglich über die sogenannte Schattenrechnung als Kontrollgrösse in Bezug auf die Ein haltung der bundesrechtlichen Vorgaben abgebildet (vgl. BGE 140 V 169 E. 6.1 mit Hinweisen ) .</w:t>
      </w:r>
    </w:p>
    <w:p>
      <w:r>
        <w:rPr>
          <w:b/>
        </w:rPr>
        <w:t>E. 1.4</w:t>
      </w:r>
    </w:p>
    <w:p>
      <w:r>
        <w:t>Im Bereich der weitergehenden (überobligatorischen) Vorsorge wird das Rechts verhältnis zwischen der Vorsorgeeinrichtung und dem Vorsorgenehmer durch einen privatrechtlichen Vorsorgevertrag begründet, der rechtsdogmatisch den Innominatverträgen (eigener Art) zuzuordnen ist (BGE 130 V 103 E. 3.3, 129 III 305 E. 2.2). Als solcher untersteht er in erster Linie den allgemeinen Bestim mungen des Obligationenrechts. Das Reglement stellt den vorformulierten Inhalt des Vorsorgevertrages beziehungsweise dessen Allgemeine Versicherungsbedin gungen (AVB) dar, denen sich der Versicherte ausdrücklich oder durch konklu dentes Verhalten unterzieht (BGE 132 V 149 E. 5, 129 V 145 E. 3.1, 127 V 301 E. 3a).</w:t>
      </w:r>
    </w:p>
    <w:p>
      <w:r>
        <w:rPr>
          <w:b/>
        </w:rPr>
        <w:t>E. 2</w:t>
      </w:r>
    </w:p>
    <w:p>
      <w:r>
        <w:t>Vorliegend ist einzig die Anwendung des Umwandlungssatzes strittig, indem die Klägerin davon ausgeht, dieser sei - entgegen den gesetzlichen Vorgaben - nicht mit 6.8 % berücksichtigt worden. Nicht streitig sind hingegen die übri ge n Parameter, wie die Höhe des Sparguthabens per 30. Juni 2016 von Fr. 545‘080.90 und davon der obligatorische BVG-Anteil von Fr. 264‘573.95 sowie der Kapitalbezug von Fr. 100‘000.--.</w:t>
      </w:r>
    </w:p>
    <w:p>
      <w:r>
        <w:rPr>
          <w:b/>
        </w:rPr>
        <w:t>E. 2.1</w:t>
      </w:r>
    </w:p>
    <w:p>
      <w:r>
        <w:t>Am 2 6. Juli</w:t>
      </w:r>
    </w:p>
    <w:p>
      <w:r>
        <w:t>2016 erhob X.___ Klage gegen die BVK und beantragte sinngemäss, es seien ihr die Rentenleistungen aus der beruflichen Vorsorge basie rend auf einem Umwandlungssatz von 6.8 % auszurichten ( Urk. 1). Zur Begrün dung führte sie im Wesentlichen aus, der Umwandlungssatz von 6.8 % sei für die BVK verbindlich und hiervon könne nicht abgewichen werden.</w:t>
      </w:r>
    </w:p>
    <w:p>
      <w:r>
        <w:rPr>
          <w:b/>
        </w:rPr>
        <w:t>E. 2.2</w:t>
      </w:r>
    </w:p>
    <w:p>
      <w:r>
        <w:t>Am 30. August 2016 reichte die BVK ihre Klageantwort unter Darlegung de r</w:t>
      </w:r>
    </w:p>
    <w:p>
      <w:r>
        <w:t>Berechnungsgrundlagen ein (Urk. 4). Mit gerichtlicher Verfügung vom 8. Septem ber 2016 wurde die Klageantwort der Klägerin zugestellt und ihr eine Frist angesetzt um zu erklären, ob sie an ihrer Klage mit der Begründung einer fehlerhaften Rentenberechnung zufolge Nichtberücksichtigung des BVG-Mini malumwandlungssatzes von 6.8 % festhalte und wenn ja, mit welchem Rechts begehren und mit welcher Begründung ( Urk. 6). Die Frist liess die Klägerin ungenutzt verstreichen. Das Gericht zieht in Erwägung: 1.</w:t>
      </w:r>
    </w:p>
    <w:p>
      <w:r>
        <w:rPr>
          <w:b/>
        </w:rPr>
        <w:t>E. 3</w:t>
      </w:r>
    </w:p>
    <w:p>
      <w:r>
        <w:t>Zustellung gegen Empfangsschein an: - X.___ - BVK Personalvorsorge des Kantons Zürich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