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BV.2016.00065 vom 18. September 2018</w:t>
      </w:r>
    </w:p>
    <w:p>
      <w:r>
        <w:t>ZH Sozialversicherungsgericht, 2018-09-18, DE</w:t>
      </w:r>
    </w:p>
    <w:p>
      <w:r>
        <w:rPr>
          <w:b/>
        </w:rPr>
        <w:t xml:space="preserve">Quelle: </w:t>
      </w:r>
      <w:r>
        <w:t>https://mcp.opencaselaw.ch/entscheid/zh_sozialversicherungsgericht_BV.2016.00065</w:t>
      </w:r>
    </w:p>
    <w:p>
      <w:r>
        <w:t>FR: ZH_SOZIALVERSICHERUNGSGERICHT BV.2016.00065 du 18 septembre 2018</w:t>
      </w:r>
    </w:p>
    <w:p>
      <w:r>
        <w:t>IT: ZH_SOZIALVERSICHERUNGSGERICHT BV.2016.00065 del 18 settembre 2018</w:t>
      </w:r>
    </w:p>
    <w:p>
      <w:pPr>
        <w:pStyle w:val="Heading2"/>
      </w:pPr>
      <w:r>
        <w:t>Erwägungen</w:t>
      </w:r>
    </w:p>
    <w:p>
      <w:r>
        <w:rPr>
          <w:b/>
        </w:rPr>
        <w:t>E. 1</w:t>
      </w:r>
    </w:p>
    <w:p>
      <w:r>
        <w:t>Y.___ , geboren 1970, bezog ab 1. September 2006 eine ganze Rente der Invalidenversicherung (samt Kinderrenten) sowie eine Komplementärrente der Unfallversicherung ( Urk. 2/6, 2/7). Die X.___ Pensionskasse richtete ihr daneben mit Wirkung</w:t>
      </w:r>
    </w:p>
    <w:p>
      <w:r>
        <w:t>ab 1. September 2006 eine aufgrund einer Überentschädi gungsberechnung gekürzte Invalidenrente der beruflichen Vorsorge aus ( Urk. 2/8, 2/9).</w:t>
      </w:r>
    </w:p>
    <w:p>
      <w:r>
        <w:t>Mit Verfügung vom 2 5. März 2015 teilte die Unfallversicherung Y.___ mit, dass ihr bei der früheren Rentenberechnung ein Fehler unterlaufen sei. Aus der Korrektur erfolgte für die Periode vom 1. März 2006 bis 3 1. März 2015 eine Nach zahlung in der Höhe von Fr. 30'711.-- ( Urk. 2/10).</w:t>
      </w:r>
    </w:p>
    <w:p>
      <w:r>
        <w:t>Daraufhin nahm die X.___ Pensionskasse eine Neuberechnung ihrer Leistungen vor, welche wegen Überentschädigung zu viel ausgerichtete Leistun gen in der Höhe von Fr. 28'061.50 ergab. Mit Schreiben vom 2 7. April 2015 er suchte sie Y.___ um Rückerstattung dieses Betrags ( Urk. 2/11).</w:t>
      </w:r>
    </w:p>
    <w:p>
      <w:r>
        <w:t>Y.___ erklärte sich in der Folge zur Rückerstattung der zu viel ausgerichte ten Leistungen bereit, soweit diese nicht verjährt seien ( Urk. 2/12). Da in der Folge zwischen den Parteien unterschiedliche Auffassungen hinsichtlich des Eintritts der Verjä hrung bestanden, leitete die X.___ Pensionskasse am 2 5. Sep tember 2015 die Betreibung ihrer Forderung ein. Gegen den Zahlungsbefehl erhob Y.___ Rechtsvorschlag ( Urk. 2/13-21).</w:t>
      </w:r>
    </w:p>
    <w:p>
      <w:r>
        <w:rPr>
          <w:b/>
        </w:rPr>
        <w:t>E. 2</w:t>
      </w:r>
    </w:p>
    <w:p>
      <w:r>
        <w:t>Satz 1 BVG).</w:t>
      </w:r>
    </w:p>
    <w:p>
      <w:r>
        <w:rPr>
          <w:b/>
        </w:rPr>
        <w:t>E. 2.3</w:t>
      </w:r>
    </w:p>
    <w:p>
      <w:r>
        <w:t>Gemäss Art. 24 Ziffer 1 des Versicherungsreglement 2005 der Klägerin kürzt die Klägerin ihre Leistungen, sofern diese mit den in Abs.</w:t>
      </w:r>
    </w:p>
    <w:p>
      <w:r>
        <w:rPr>
          <w:b/>
        </w:rPr>
        <w:t>E. 2.4</w:t>
      </w:r>
    </w:p>
    <w:p>
      <w:r>
        <w:t>Nach Art. 35a Abs. 1 BVG sind unrechtmässig bezogene Leistungen zurückzuer statten. Von der Rückforderung kann gemäss Satz 2 der genannten Bestimmung abgesehen werden, wenn der Leistungsempfän ger gutgläubig war und die Rück forderung zu einer grossen Härte führt.</w:t>
      </w:r>
    </w:p>
    <w:p>
      <w:r>
        <w:t>Der Rückforderungsanspruch verjährt mit Ablau f eines Jahres, nachdem die Vor sorgeeinrichtung Kenntnis davon erhalten hat, spätestens aber mit Ablauf von fünf Jahren seit der Auszahlung der Leistung ( Art. 35a Abs.</w:t>
      </w:r>
    </w:p>
    <w:p>
      <w:r>
        <w:rPr>
          <w:b/>
        </w:rPr>
        <w:t>E. 3.1</w:t>
      </w:r>
    </w:p>
    <w:p>
      <w:r>
        <w:t>Strittig ist die Auslegung von Art. 35a Abs. BVG.</w:t>
      </w:r>
    </w:p>
    <w:p>
      <w:r>
        <w:rPr>
          <w:b/>
        </w:rPr>
        <w:t>E. 3.2</w:t>
      </w:r>
    </w:p>
    <w:p>
      <w:r>
        <w:t>Das Bundesgericht hat im Urteil 9C_81/2016 vom 2. Mai 201</w:t>
      </w:r>
    </w:p>
    <w:p>
      <w:r>
        <w:rPr>
          <w:b/>
        </w:rPr>
        <w:t>E. 3.3</w:t>
      </w:r>
    </w:p>
    <w:p>
      <w:r>
        <w:t>Dementsprechend begann konkret die fünfjährige Verjährungsfrist nach Art. 35a BVG für die Geltendmachung der Rückforderung zufolge Überentschädigung, welche aufgrund der nachträgliche n</w:t>
      </w:r>
    </w:p>
    <w:p>
      <w:r>
        <w:t>Zusprechung von Rentenleistungen seitens des Unfallversicherung resultierte, mit Eintritt der Rechtskraft der Verfügung vom 2 5. März 201 5. Mit der am 2 5. September 2015 eingeleiteten Betreibung bezie hungsweise der am 1 8. Juli 2016 erhobenen Klage wurde der Anspruch rechtzei tig geltend gemacht.</w:t>
      </w:r>
    </w:p>
    <w:p>
      <w:r>
        <w:t>In der Höhe blieb die Forderung unbestritten. Kosten für den Zahlungsbefehl dür fen rechtsprechungsgemäss nicht im Klageverfahren zugesprochen werden, weil der Gläubiger von Gesetzes wegen berechtigt ist, diese Kosten von den Zahlungen des Schuldners vorab zu erheben ( Art. 68 Abs. 2 SchKG, Urteil des Eidg . Versi cherungsgerichts B 61/00 vom 2 6. September 2001 E. 5).</w:t>
      </w:r>
    </w:p>
    <w:p>
      <w:r>
        <w:rPr>
          <w:b/>
        </w:rPr>
        <w:t>E. 3.4</w:t>
      </w:r>
    </w:p>
    <w:p>
      <w:r>
        <w:t>Nach dem Gesagten ist die Klage teilweise gutzuheissen und die Beklagte zu ver pflichten, der Klägerin Fr. 28'061.50 nebst Zins zu 5 % seit 2 5. September 2015 zu bezahlen. Der Rechtsvorschlag in der Betreibung Nr. O.___ des Betreibungs amtes A.___ (Zahlungsbefehl vom 2 9. September 2015) ist in diesem Um fang aufzuheben. Das Gericht erkennt: 1.</w:t>
      </w:r>
    </w:p>
    <w:p>
      <w:r>
        <w:t>In teilweiser Gutheissung der Klage wird die Beklagte verpflichtet, der Klägerin Fr. 28'061.50 nebst Zins zu 5 % seit 2 5. September 2015 zu bezahlen. Der Rechtsvor schlag in der Betreibung Nr. O.___ des Betreibungsamtes A.___ (Zahlungsbefehl vom 2 9. September 2015) wird in diesem Umfang aufgehoben. 2.</w:t>
      </w:r>
    </w:p>
    <w:p>
      <w:r>
        <w:t>Das Verfahren ist kostenlos. 3.</w:t>
      </w:r>
    </w:p>
    <w:p>
      <w:r>
        <w:t>Zustellung gegen Empfangsschein an: - X.___ Pensionskasse - Rechtsanwalt Dr. Markus Krapf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r>
        <w:rPr>
          <w:b/>
        </w:rPr>
        <w:t>E. 6</w:t>
      </w:r>
    </w:p>
    <w:p>
      <w:r>
        <w:t>entschieden, dass die fünfjährige Frist zur Gel tendmachung der Rückerstattung nur dann mit der Auszahlung der Leistung beginnt , wenn die Unrechtmässigkeit in diesem Moment bereits bestand und eine allfällige Rückforderung überhaupt fällig sein konnte. Dies ist namentlich dann nicht der Fall, wenn später Leistungen einer anderen Sozialversicherung zugesprochen werden, die bei der Überentschädigungsberech nung zu berücksichtigen gewesen wären und zu einer solchen geführt hätten, womit sich im Nachhinein die damalige Auszahlung als unrechtmässig erweist (E. 2.2.1).</w:t>
      </w:r>
    </w:p>
    <w:p>
      <w:r>
        <w:t>Diese Auslegung nahm das Bundesgeric ht primär anhand der Bestimmung von § 60 Abs. 3 der BVK-Statuten vor, bezog sie aber auch auf Art. 35a BVG (E. 2.2.1 und E. 2.2.2). Es begründete die Auslegung mitunter mit koordinationsrechtlichen Überlegungen. So hielt es fest, dieses Verständnis gelte auch im Anwendungsbe reich des ATSG. Es bestehe kein Grund, im Rahmen von Art. 34a BVG und Art. 24 ff. BVV 2 betreffend die Überentschädigung und Koordination mit anderen So zialversicherungen anders zu entscheiden (E. 2.2.2). Soweit die Beklagte den Ent scheid auf den vorliegenden Fall nicht angewendet haben will ( Urk.</w:t>
      </w:r>
    </w:p>
    <w:p>
      <w:r>
        <w:rPr>
          <w:b/>
        </w:rPr>
        <w:t>E. 9</w:t>
      </w:r>
    </w:p>
    <w:p>
      <w:r>
        <w:t>), ist ihr mithin nicht zu 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