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BV.2016.00034 vom 23. November 2017</w:t>
      </w:r>
    </w:p>
    <w:p>
      <w:r>
        <w:t>ZH Sozialversicherungsgericht, 2017-11-23, DE</w:t>
      </w:r>
    </w:p>
    <w:p>
      <w:r>
        <w:rPr>
          <w:b/>
        </w:rPr>
        <w:t xml:space="preserve">Quelle: </w:t>
      </w:r>
      <w:r>
        <w:t>https://mcp.opencaselaw.ch/entscheid/zh_sozialversicherungsgericht_BV.2016.00034</w:t>
      </w:r>
    </w:p>
    <w:p>
      <w:r>
        <w:t>FR: ZH_SOZIALVERSICHERUNGSGERICHT BV.2016.00034 du 23 novembre 2017</w:t>
      </w:r>
    </w:p>
    <w:p>
      <w:r>
        <w:t>IT: ZH_SOZIALVERSICHERUNGSGERICHT BV.2016.00034 del 23 novembre 2017</w:t>
      </w:r>
    </w:p>
    <w:p>
      <w:pPr>
        <w:pStyle w:val="Heading2"/>
      </w:pPr>
      <w:r>
        <w:t>Erwägungen</w:t>
      </w:r>
    </w:p>
    <w:p>
      <w:r>
        <w:rPr>
          <w:b/>
        </w:rPr>
        <w:t>E. 1.1</w:t>
      </w:r>
    </w:p>
    <w:p>
      <w:r>
        <w:t>Gemäss Art. 73 Abs. 3 des Bundesgesetzes über die berufliche Alters-, Hinterlas senen- und Invalidenvorsorge (BVG) bestimmt sich der Gerichtsstand nach dem schweizerischen Sitz oder Wohnsitz des Beklagten oder dem Ort des Betrie bes, bei dem der Versicherte angestellt worden war, wobei die klagende Partei den Gerichtsstand wählen kann (Urteil des Bundesgerichts B 93/04 vom 9. August 2005 E. 2.3 mit Hinweisen). Für den Wahlgerichtsstand des Orts des Betriebes, bei dem der Ver sicherte angestellt worden war, kommt es ferner nicht darauf an, ob die klagende Partei eine Vorsorgeeinrichtung, ein Arbeitgeber oder eine versicherte Person ist. Sodann gehören neben den versicherten Personen auch ihre Hinter lassenen zu den anspruchsberechtigten Personen (Ulrich Meyer/ Laurence Uttinger , in: Jacques-André Schneider/Thomas Geiser/Thomas Gächter (Hrsg.), BVG und FZG, Bern 2010, N 10 und 98 zu Art. 73 BVG).</w:t>
      </w:r>
    </w:p>
    <w:p>
      <w:r>
        <w:rPr>
          <w:b/>
        </w:rPr>
        <w:t>E. 1.2</w:t>
      </w:r>
    </w:p>
    <w:p>
      <w:r>
        <w:t>Der Versicherte war bei der A.___ (Schweiz) AG mit Sitz in C.___ ange stellt (Urk. 2/1-2). Das hiesige Gericht ist daher für die Behandlung der Klagen örtlich und gestützt auf § 2 Abs. 2 lit . a des Gesetzes über das Sozialversiche rungsgericht ( GSVGer ) auch sachlich zuständig. 2.</w:t>
      </w:r>
    </w:p>
    <w:p>
      <w:r>
        <w:t>Vorab ist auf das Vorbringen des Klägers 1 einzugehen, wonach der Versicherte von der Beklagten nicht über die per 17. Juni 2006 eingeführte Änderung der Begünstigtenordnung informiert worden sei, weshalb diese vorliegend nicht zur Anwendung kommen könne (Urk. 1 S. 9, Urk. 7/7 S. 2, Urk. 20 S. 8-9, Urk. 34 S. 4).</w:t>
      </w:r>
    </w:p>
    <w:p>
      <w:r>
        <w:t>Wie den Vorsorgeausweisen 2011 und 2014 des Versicherten zu entnehmen ist, war er Mitglied der paritätischen Vorsorgekommission seines Arbeitgebers (Urk. 2/2,</w:t>
      </w:r>
    </w:p>
    <w:p>
      <w:r>
        <w:t>Urk. 7/16, jeweils S. 2). Gemäss Ziff. 1.4 des Anhangs II der Allge meinen Reglementsbestimmungen der Beklagten (Urk. 7/17) gehört zu den Auf gaben der Vorsorgekommission namentlich die Genehmigung des von der Stif tung bereitgestellten Personalvorsorge-Reglements (vgl. auch Anhang I zu die sen Reglementsbestimmungen ). Der Versicherte erlangte damit bereits auf die sem Weg Kenntnis von den Reglementsänderungen . Die Beklagte macht zudem geltend, dass der Versicherte spätestens mit Erhalt des Vorsorgeaus weises 2011 auch über die Reglementsänderung betreffend die Begünstig tenordnung infor miert worden</w:t>
      </w:r>
    </w:p>
    <w:p>
      <w:r>
        <w:t>sei, weil das neue Reglement dem Vorsorge aus weis beigelegt wor den sei (Urk. 6 S. 7,</w:t>
      </w:r>
    </w:p>
    <w:p>
      <w:r>
        <w:t>Urk. 27 S. 2,</w:t>
      </w:r>
    </w:p>
    <w:p>
      <w:r>
        <w:t>Urk. 28 S. 1-2).</w:t>
      </w:r>
    </w:p>
    <w:p>
      <w:r>
        <w:t>Der Kläger 1 kann aus seinem Vorbringen mithin nichts zu seinen Gunsten ablei ten. Weil der Versicherte am 21. April 2014 verstorben ist, sind vorliegend die Allgemeinen Reglementsbestimmungen der Beklagten Ausgabe 2014 (Urk. 7/17) anwendbar (Ziff. 38.1.1 dieser Reglementsbestimmungen ). 3.</w:t>
      </w:r>
    </w:p>
    <w:p>
      <w:r>
        <w:rPr>
          <w:b/>
        </w:rPr>
        <w:t>E. 2</w:t>
      </w:r>
    </w:p>
    <w:p>
      <w:r>
        <w:t>Die Klage der Klägerin 2 sei vollumfänglich abzuweisen.</w:t>
      </w:r>
    </w:p>
    <w:p>
      <w:r>
        <w:rPr>
          <w:b/>
        </w:rPr>
        <w:t>E. 2.1</w:t>
      </w:r>
    </w:p>
    <w:p>
      <w:r>
        <w:t>X.___ erhob am 20. April 2016 beim hiesigen Gericht Klage gegen die Swisscanto und beantragte, die Beklagte sei zu verpflichten, ihm die aus dem Vorsorgevertrag zustehende Beitragsrückgewähr auszurichten, mindestens jedoch Fr. 100‘000.-- (Urk. 1 S. 2).</w:t>
      </w:r>
    </w:p>
    <w:p>
      <w:r>
        <w:t>Die Beklagte beantragte mit Klageantwort vom 26. Mai 2016 Ab weisung der Klage. In verfahrensrechtlicher Hinsicht beantragte sie, Y.___ sei zum Prozess beizuladen (Urk. 6 S. 2).</w:t>
      </w:r>
    </w:p>
    <w:p>
      <w:r>
        <w:rPr>
          <w:b/>
        </w:rPr>
        <w:t>E. 2.2</w:t>
      </w:r>
    </w:p>
    <w:p>
      <w:r>
        <w:t>Y.___ erhob am 2. Mai 2016 ebenfalls Klage gegen die Swisscanto und beantragte, die Beklagte sei zu verpflichten, ihr Fr. 354‘372.60 nebst Zins zu 1.75 % seit dem 12. Juni 2014 bis am 31. Dezember 2015 und nebst Zins zu 1.25 % seit dem 1. Januar 2016 zu bezahlen. In verfahrens recht li cher Hinsicht ersuchte sie um Gewährung der unentgeltlichen Rechts pflege und Bestellung einer unentgeltlichen Rechtsvertreterin in der Person von Rechtsan wältin Dr. Eliane E. Ganz (Urk. 1 S. 2 im Verfahren BV.2016.00037).</w:t>
      </w:r>
    </w:p>
    <w:p>
      <w:r>
        <w:t>Die Beklagte beantragte am 9. Juni 2016, da Y.___ bereits im von X.___ anhängig gemachten Verfahren beizuladen sei und so Parteistellung erlange, sei mangels Vorliegen der Prozessvoraus setzungen auf ihre Klage nicht einzutreten. Even tualiter sei das Verfahren BV.2016.00037 mit dem Verfahren BV.2016.00034 (in Sachen X.___ ) zu vereinen. Sub eventualiter sei das Verfahren bis zum Ent scheid im Verfahren BV.2016.00034 zu sistieren (Urk. 6 S. 2 im Verfahren BV.2016.00037).</w:t>
      </w:r>
    </w:p>
    <w:p>
      <w:r>
        <w:rPr>
          <w:b/>
        </w:rPr>
        <w:t>E. 2.3</w:t>
      </w:r>
    </w:p>
    <w:p>
      <w:r>
        <w:t>Mit Gerichtsverfügung vom 23. Juni 2016 wurde der Prozess BV.2016.00037 in Sachen Y.___ gegen Swisscanto Sammelstiftung der Kantonal banken mit dem vorliegenden Prozess BV.2016.00034 vereinigt und unter dieser Prozessnummer weitergeführt. Der Prozess BV.2016.00037 wurde als dadurch erledigt abgeschrieben. Dessen Akten wurden als Urk. 8/0-8 zu den Akten des vorliegenden Prozesses genommen (Urk. 9 S. 4).</w:t>
      </w:r>
    </w:p>
    <w:p>
      <w:r>
        <w:rPr>
          <w:b/>
        </w:rPr>
        <w:t>E. 2.4</w:t>
      </w:r>
    </w:p>
    <w:p>
      <w:r>
        <w:t>Mit Replik vom 27. Oktober 2016 beantragte der Kläger 1, X.___ (Urk. 20 S. 2): „ 1. Es sei die Beklagte zu verpflichten, dem Kläger 1 die ihm aus dem Versiche rungsvertrag-Nr. B.___ zustehende Beitragsrückge währ in Höhe von CHF 354‘372.60 zu bezahlen.</w:t>
      </w:r>
    </w:p>
    <w:p>
      <w:r>
        <w:rPr>
          <w:b/>
        </w:rPr>
        <w:t>E. 2.5</w:t>
      </w:r>
    </w:p>
    <w:p>
      <w:r>
        <w:t>Der Kläger 1 und die Klägerin 2 stellten mit ihren Tripliken vom 31. Januar 2017 (Urk. 31) beziehungsweise 5. April 2017 (Urk. 34) unveränderte Rechts be gehren. Innert mit Verfügung vom 7. April 2017 (Urk. 36) angesetzter Frist ging keine Quadruplik der Beklagten ein, was den übrigen Verfahrensbeteiligten am 30. Mai 2017 zur Kenntnis gebracht wurde (Urk. 38).</w:t>
      </w:r>
    </w:p>
    <w:p>
      <w:r>
        <w:rPr>
          <w:b/>
        </w:rPr>
        <w:t>E. 3</w:t>
      </w:r>
    </w:p>
    <w:p>
      <w:r>
        <w:t>Auf die Vorbringen der Parteien und die eingereichten Unterlagen wird, soweit erforderlich, in den nachfolgenden Erwägungen eingegangen. Das Gericht zieht in Erwägung: 1.</w:t>
      </w:r>
    </w:p>
    <w:p>
      <w:r>
        <w:rPr>
          <w:b/>
        </w:rPr>
        <w:t>E. 3.1</w:t>
      </w:r>
    </w:p>
    <w:p>
      <w:r>
        <w:t>Nach Art. 6 BVG enthält der zweite Teil dieses Gesetzes Mindestvorschriften. Dazu gehören die im 3. Kapitel (Art. 13 ff.) enthaltenen Bestimmungen über die Versicherungsleistungen. Mit diesen Bestimmungen hat der Gesetzgeber insbe sondere auch die Leistungsarten und die hiefür geltenden Anspruchsvorausset zungen geregelt, woran die Vorsorgeeinrichtungen im Sinne von Mindestvor schriften gebunden sind (BGE 121 V 104 E. 4a mit Hinweis).</w:t>
      </w:r>
    </w:p>
    <w:p>
      <w:r>
        <w:rPr>
          <w:b/>
        </w:rPr>
        <w:t>E. 3.2</w:t>
      </w:r>
    </w:p>
    <w:p>
      <w:r>
        <w:t>Gemäss Art. 20a Abs. 1 BVG können die Vorsorgeeinrichtungen in ihren Regle menten neben den überlebenden Ehegatten (Art. 19 BVG) beziehungsweise ein getragenen Partnerinnen und Partnern (Art. 19a BVG) und Kindern, für deren Unter halt die verstorbene Person aufzukommen hatte, (Waisen, Art. 20 BVG) fol gende begünstigte Personen für Hinterlassenenleistungen vorsehen: a.</w:t>
      </w:r>
    </w:p>
    <w:p>
      <w:r>
        <w:t>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w:t>
      </w:r>
    </w:p>
    <w:p>
      <w:r>
        <w:t>beim Fehlen von begünstigten Personen nach Buchstabe a: die Kinder des Ver 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t>Kein Anspruch auf Hinterlassenenleistungen nach Absatz 1 Buchstabe a besteht, wenn die begünstigte Person eine Witwer- oder Witwenrente bezieht (Art. 20a Abs. 2 BVG).</w:t>
      </w:r>
    </w:p>
    <w:p>
      <w:r>
        <w:rPr>
          <w:b/>
        </w:rPr>
        <w:t>E. 3.3</w:t>
      </w:r>
    </w:p>
    <w:p>
      <w:r>
        <w:t>Im Bereich der weitergehenden Vorsorge wird das Rechtsverhältnis zwischen der Vorsorge ein richtung und dem Vorsorgenehmer durch einen privatrechtli chen Vorsorge vertrag begründet, der rechtsdogmatisch den Innominatverträgen (eigener Art) zuzuordnen ist (BGE 130 V 103 E. 3.3, 129 III 305 E. 2.2). Als sol cher untersteht er in erster Linie den allgemeinen Bestimmungen des Obliga tio nenrechts. Das Reglement stellt den vorformulierten Inhalt des Vorsorge vertra ges beziehungs weise dessen Allgemeine Versicherungsbedin 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 sprechenden Vereinbarung zwischen der Vorsorgeeinrichtung und dem ver sicherten Arbeit nehmer (BGE 131 V 27 E. 2.1, 122 V 142 E. 4b).</w:t>
      </w:r>
    </w:p>
    <w:p>
      <w:r>
        <w:rPr>
          <w:b/>
        </w:rPr>
        <w:t>E. 3.4</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rPr>
          <w:b/>
        </w:rPr>
        <w:t>E. 3.5</w:t>
      </w:r>
    </w:p>
    <w:p>
      <w:r>
        <w:t>In Ziff. 15.1.1 der Allgemeinen Reglementsbestimmungen der Beklagten (Aus gabe 2014 [Urk. 7/17]; nachfolgend: Reglementsbestimmungen ) wird festge hal ten, dass das bis zum Zeitpunkt des Todes angesammelte Altersguthaben in Kapitalform ausbezahlt wird, wenn beim Tod einer versicherten Person vor der Pensionierung kein Anspruch auf eine Ehegattenrente, auf eine Rente an den geschiedenen Ehegatten oder auf eine Lebenspartnerrente entsteht.</w:t>
      </w:r>
    </w:p>
    <w:p>
      <w:r>
        <w:t>Ist im Vorsorgeplan ein Todesfallkapital ausgewiesen, so wird beim Tod einer versicherten Person infolge von Krankheit oder Unfall vor der Pensionierung ein Todesfallkapital ausgerichtet, sofern die versicherte Person dem Personen kreis angehört, für den das Todesfallkapital gemäss Vorsorgeplan versichert ist und diese Person vor Eintritt des versicherten Ereignisses der Stiftung entspre chend gemeldet worden ist. Als unterhaltspflichtig gelten verheiratete Personen sowie Personen mit unterhaltsberechtigten Kindern. Als unterstützungspflichtig gelten Personen, die gegenüber den Verwandten Unterstützungspflichten ge mäss Art. 328 ZGB erfüllen (Ziff. 16.1.1 der Reglementsbestimmungen ).</w:t>
      </w:r>
    </w:p>
    <w:p>
      <w:r>
        <w:t>Anspruch auf das Todesfallkapital beziehungsweise die Beitragsrückgewähr sowie allfällige Guthaben auf dem Renteneinkaufskonto (Ziff. 29.4 der Regle mentsbestimmungen ) haben die Hinterlassenen unabhängig vom Erbrecht ge mäss folgender Rangordnung (Ziff. 17.1.1 der Reglementsbestimmungen ): a)</w:t>
      </w:r>
    </w:p>
    <w:p>
      <w:r>
        <w:t>die reglementarisch anspruchsberechtigten Ehegatten und Waisen sowie</w:t>
      </w:r>
    </w:p>
    <w:p>
      <w:r>
        <w:t>natürliche Personen, die von der verstorbenen Person in erheblichem Masse unterstützt worden sind, die Person, die mit dieser in den letzten fünf Jah ren bis zu ihrem Tode ununterbrochen eine Lebensgemeinschaft geführt hat sowie die Person, die für den Unterhalt eines oder mehrerer gemein samer Kinder aufkommen muss; b)</w:t>
      </w:r>
    </w:p>
    <w:p>
      <w:r>
        <w:t>beim Fehlen von begünstigten Personen nach Buchstabe a): die Kinder der verstorbenen Person, welche die Anspruchsvoraussetzungen nach Ziff. 14 der Reglementsbestimmungen nicht erfüllen, die Eltern oder die Geschwis ter; c)</w:t>
      </w:r>
    </w:p>
    <w:p>
      <w:r>
        <w:t>beim Fehlen von begünstigen Personen nach den Buchstaben a) und b): die übrigen gesetzlichen Erben, unter Ausschluss des Gemeinwesens, in Anleh nung an die gesetzlichen erbrechtlichen Teilungsregeln im Umfang von 50 % des vorhandenen Altersguthabens.</w:t>
      </w:r>
    </w:p>
    <w:p>
      <w:r>
        <w:t>Kein Anspruch auf Hinterlassenleistungen nach lit a) Abs. 2 dieser Bestimmung besteht, wenn die begünstigte Person eine Ehegatten-, Witwen-, Witwer- oder Lebenspartnerrente aus einer vorhergehenden Ehe oder Lebensgemeinschaft bezieht. Kein Anspruch besteht für den geschiedenen Ehegatten.</w:t>
      </w:r>
    </w:p>
    <w:p>
      <w:r>
        <w:rPr>
          <w:b/>
        </w:rPr>
        <w:t>E. 4.1</w:t>
      </w:r>
    </w:p>
    <w:p>
      <w:r>
        <w:t>Die Beklagte bestreitet nicht, dass sie eine Beitragsrückgewähr (Ziff. 15.1.1 der Reglementsbestimmungen ) in der Höhe von Fr. 354‘372.60 zu leisten hat (Urk. 6 S. 8). Unter den Verfahrensbeteiligten ist sodann unstrittig, dass der Ver sicherte von der in Ziff. 17.2.1 der Reglementsbestimmungen vorgesehenen Möglichkeit zur Änderung der Begünstigtenordnung für die Betragsrückgewähr keinen Ge brauch gemacht hatte (Urk. 6 S. 4). Hierfür wäre gemäss den Reglementsbestim mungen eine schriftliche Erklärung des Versicherten nötig gewesen. Eine solche Erklärung wurde nicht eingereicht. Der Anspruch auf Beitragsrückgewähr rich tet sich mithin nach der Kaskadenordnung gemäss Ziff. 17.1.1 lit . a bis c der Reglementsbestimmungen . Die Klägerin 2 macht geltend, dass sie mit dem Ver sicherten in den letzten fünf Jahren bis zu seinem Tod ununterbrochen eine Lebensgemeinschaft geführt habe. Zudem sei sie von ihm in erheblichem Masse unterstützt worden (Urk. 8/1 S. 3- 4). Das Vorliegen einer Lebensgemeinschaft oder einer erheb licher Unterstützung würde - gegebenenfalls - gemäss Art. 17.1.1. lit . a Abs. 2 der Reglementsbestimmungen zu einem Anspruch der Klägerin 2 führen. Der Kläger 1 ist der Sohn des Versicherten (Urk. 2/4 S. 2). Weil der 1974 geborene Kläger 1 (Urk. 2/4 S. 2) das 25. Altersjahr bereits voll endet hat, hat er keinen reglementarischen Anspruch auf eine Waisenrente (vgl. Ziff. 14.2.3</w:t>
      </w:r>
    </w:p>
    <w:p>
      <w:r>
        <w:t>der Reglementsbestimmungen ). Er fällt mithin nicht unter lit . a Abs. 1, sondern unter lit . b der Kaskadenordnung, womit sein An spruch demje nigen der Klägerin 2 nachginge, wenn die Voraussetzung der Lebensgemein schaft und/oder der erheblichen Unter stützung vorliegend zu bejahen wäre.</w:t>
      </w:r>
    </w:p>
    <w:p>
      <w:r>
        <w:rPr>
          <w:b/>
        </w:rPr>
        <w:t>E. 4.2.1</w:t>
      </w:r>
    </w:p>
    <w:p>
      <w:r>
        <w:t>Zu prüfen ist zunächst, ob die Klägerin 2 mit dem Versicherten eine Lebensge meinschaft im Sinne von Art. 17.1.1. lit . a Abs. 2 der Reglementsbestimmungen geführt hat.</w:t>
      </w:r>
    </w:p>
    <w:p>
      <w:r>
        <w:t>Die Klägerin 2 führt im Wesentlichen aus, dass sie während rund 25 Jahren die Lebenspartnerin des Versicherten gewesen sei (Urk. 8/1 S. 3). Vor seinem Tod am 21. April 2014 habe sie mit dem Versicherten zudem während ca. 10 Jahren in D.___ eine ununterbrochene Lebensgemeinschaft geführt (Urk. 8/1 S. 3). Die Partner hätten sich gegenseitig Treue und Beistand geleistet. Sie habe den Haus halt be sorgt und sei vom Versicherten finanziell unterstützt worden und habe namentlich unentgeltlich in seinem Haus wohnen können (Urk. 31 S. 15). Zudem habe der Versicherte ihr monatlich Fr. 500.-- zukommen las sen (Urk. 8/1 S. 4).</w:t>
      </w:r>
    </w:p>
    <w:p>
      <w:r>
        <w:t>Der Kläger 1 bestreitet an sich nicht, dass die Klägerin 2 einmal die Lebenspart nerin des Ver sicherten war (Urk. 20 S. 4). Gemäss seinen Vorbringen hat aber in den letzten fünf Jahren vor dem Tod des Ver sicherten am 21. April 2014 zwi schen diesem und der Klägerin 2 keine Lebenspartnerschaft im Sinne einer Wohn-, Tisch- und Bettgemeinschaft mehr bestanden. Er stellt sich im Wesent lichen auf den Standpunkt, dass das Verhältnis zwischen der Klägerin 2 und dem Ver sicherten vielmehr den Charakter einer blossen Wohn gemeinschaft gehabt habe (Urk. 20 S. 4, 6).</w:t>
      </w:r>
    </w:p>
    <w:p>
      <w:r>
        <w:rPr>
          <w:b/>
        </w:rPr>
        <w:t>E. 4.2.2</w:t>
      </w:r>
    </w:p>
    <w:p>
      <w:r>
        <w:t>Der Begriff der Lebensgemeinschaft wird in Art. 17.1.1. lit . a Abs. 2 der Regle mentsbestimmungen nicht weiter umschrieben. Im selben Reglement wird bei den Anspruchsvoraussetzungen zur Lebenspartnerrente (Art. 13.3.1 ff. der Reg lementsbestimmungen ) aber unter anderem festgehalten, dass der Leben spart ner mit der versicherten Person “in einem gemeinsamen Haushalt“ gelebt haben müsse (Art. 13.3.2 der Reglementsbestimmungen ). Zu berücksichtigen ist sodann, dass das Reglement gemäss den Angaben der Beklagten per 17. Juli 2006 eine “den gesetzlichen Grundlagen aus Art. 20a BVG angepasste Begüns tigtenordnung “ einführen wollte (Urk. 6 S. 4). Gemäss der bundesge richtlichen Rechtsprechung ist unter einer Lebensgemeinschaft im Sinne von</w:t>
      </w:r>
    </w:p>
    <w:p>
      <w:r>
        <w:t>Art. 20a Abs. 1 lit . a BVG eine Verbindung von zwei Personen gleichen oder verschiede nen Geschlechts zu verstehen, welcher grundsätzlich Ausschliesslich keitscha rakter zukommt, sowohl in geistig-seelischer als auch in körperlicher und wirt schaftlicher Hinsicht. Dabei müssen diese Merkmale nicht kumulativ gegeben sein. Ins besondere ist weder eine ständige ungeteilte Wohngemein schaft not wendig, noch dass eine Partei von der anderen massgeblich unter stützt worden war. Entscheidend ist, ob aufgrund einer Würdigung sämtlicher Umstände von der Bereitschaft beider Partner, einander Beistand und Unterstüt zung zu leisten, wie es Art. 159 Abs. 3 des Zivilgesetzbuches</w:t>
      </w:r>
    </w:p>
    <w:p>
      <w:r>
        <w:t>( ZGB ) von Ehe gatten fordert, aus zugehen ist (BGE 137 V 383 E. 4.1, 134 V 369 E. 7.1, 118 II 235 E. 3b ).</w:t>
      </w:r>
    </w:p>
    <w:p>
      <w:r>
        <w:rPr>
          <w:b/>
        </w:rPr>
        <w:t>E. 4.2.3</w:t>
      </w:r>
    </w:p>
    <w:p>
      <w:r>
        <w:t>Aufgrund der Vorbringen der Verfahrensbeteiligten und der eingereichten Akten zeigt sich bezüglich des Verhältnisses der Klägerin 2 zum Ver sicher ten im Wesentlichen das folgende Bild: Die beiden waren gemäss ihrem Vorbringen während ca. 25 Jahren Lebenspartner (Urk. 8/1 S. 3). Vor seinem Tod am 21. April 2014 wohnten sie für ca. 10 Jahren zusammen in der Liegenschaft des Versicherten in D.___ (vgl. die Wohnsitzbescheinigungen der Einwohner kon t rolle der Gemeinde D.___ vom 13. Mai 2014 und 24. Februar 2016</w:t>
      </w:r>
    </w:p>
    <w:p>
      <w:r>
        <w:t>[Urk. 8/2/3/1-2] sowie das Schreiben der Rechtsvertreterin des Klägers 1 an die Klägerin 2 vom 21. Juli 2014 [Urk. 24/18]). Die Klägerin 2 wohnte unentgeltlich in der Liegenschaft und nutzte den Hausrat (Urk. 24/18). Sie war für den Haus halt zuständig und machte die Wäsche, bügelte die Hemden des Versicherten und erledigte den Einkauf (Urk. 31 S. 15, Urk. 20 S. 6-7). Zusätzlich überwies ihr der Ver sicherte monatlich Fr. 500.-- auf ihr Bankkonto (Urk. 24/22). Die Klägerin 2 und der Versicherte feierten zusammen Weihnachten (Urk. 24/19/8), nahmen gemeinsam am Fest zur Konfirmation der Enkeltochter der Klägerin 2 vom 6. April 2014 teil und sind auf den Fotos jeweils als Paar abgebildet (vgl. Urk. 24/19/3, Urk. 24/19/5-6, Urk. 24/19/9-13).</w:t>
      </w:r>
    </w:p>
    <w:p>
      <w:r>
        <w:rPr>
          <w:b/>
        </w:rPr>
        <w:t>E. 4.2.4</w:t>
      </w:r>
    </w:p>
    <w:p>
      <w:r>
        <w:t>Ein solcher gelebter gemeinsamer Haushalt ist ein wesentliches Merkmal einer Lebensgemeinschaft (vgl. Riemer-Kafka, Ein Kommentar zu BGE 137 V 383 ff. sowie 9C_73/2011 vom 17. Januar 2012: einschränkende Leistungsvoraus set zungen im Falle von Art. 20a Abs. 1 lit . a BVG, SZS 2012, S. 187 ff., S. 191). Der Kläger 1 stellt sich auf den Standpunkt, dass der Versicherte die Klägerin 2 in der Zeit vor seinem Tod nur noch bei sich wohnen liess und sie ihm dafür die Wäsche und den Einkauf erledigte (Urk. 20 S. 7). Er verweist hierbei auf Auf zeichnungen, welche angeblich aus dem Tagebuch des Versicherten stammen (Urk. 20 S. 4 ff., Urk. 21/11). Die Klägerin 2 bestreitet, dass das Tagebuch vom Versicherten verfasst wurde (Urk. 31 S. 3-4). Weitere Abklärungen hierzu kön nen indes unterbleiben, da der Kläger 1 aus diesen Auf zeichnungen nichts zu seinen Gunsten ableiten kann. Eingereicht wurden Aufzeichnungen, welche vom 1. November, 22. November 2009, 13. Juni 2011, 15., 29. Januar und 16. Okto ber 2012 stammen sollen, wobei der Text teilweise abgedeckt wurde.</w:t>
      </w:r>
    </w:p>
    <w:p>
      <w:r>
        <w:t>Es wurden verbale, aber auch tät liche Auseinander setzungen beschrieben (Urk. 21/11), welche gemäss dem Kläger 1 zwischen dem Versicher ten und der Klägerin 2 stattgefunden haben sollen (Urk. 20 S. 4). Diese Tagebucheinträge enden namentlich folgendermassen (Urk. 21/11): “Zumal ich ja wirk lich in der letzten Zeit mehr oder weniger aus Mitleid oder bei ihr bleibe bzw. sie bei mir wohnen lasse. Nur lange halt ich das nicht mehr aus. Dann muss sie raus. …“ (22. November 2009), “Ich glaube es ist nun höchste Zeit, dass sich unsere Wege trennen. …“ (15. Januar 2012), “Wenn sie nur end lich ginge.“ (29. Januar 2012), “Wie sie ja selbst schon mehrmals mit Nachdruck gesagt hat, geht sie nicht. …“ (16. Oktober 2012).</w:t>
      </w:r>
    </w:p>
    <w:p>
      <w:r>
        <w:t>Daraus leitete der Kläger 1 ab, dass der Versicherte und die Klägerin 2 keine Lebensgemeinschaft (mehr) geführt hätten. Sofern es dabei nicht bloss um bei spielhafte Auszüge aus dem Tagebuch handelt, muss gesagt werden, dass zwi schen dort beschrie benen Streitereien teilweise Monate, wenn nicht gar ganze Jahre vergangen sind. In dieser Zeit blieb der gemeinsame Haushalt der Kläge rin 2 und des Versicherten bestehen. Dies galt auch für die Zeit nach dem letz ten Eintrag vom Oktober 2012 bis zu seinem Tod am 21. April 2014. Gemäss den unbestritten gebliebenen Vorbringen der Klägerin 2 wohnte sie auch wei terhin in der Liegenschaft und der Versicherte kam auch noch in dieser Zeit für sämtliche Wohnkosten auf (vgl. Urk. 23 S. 8). Sodann überwies er der Klägerin 2 auch noch in den Jahren 2013 und 2014 Fr. 500.-- pro Monat (vgl. Urk. 24/22-23). Von aussen wurden die Klägerin 2 und der Versicherte nach wie vor als Paar wahrgenommen, wie sich der Einladung zur Konfirmation der Enkel tochter der Klägerin 2 (“Frau und Herr Y.___ und Z.___ “) und deren Dankesschreiben (“Liebe Y.___ und Z.___ “) ergibt (Urk. 24/20-21). Der Ver sicherte nahm an diesem Familienfest der Klägerin 2 vom 6. April 2014 teil (vgl. Urk. 24/19/3, Urk. 24/19/5-6, Urk. 24/19/9-13). In der Todesfallmeldung der A.___ (Schweiz) AG vom 12. Mai 2014 wurde die Klägerin 2 als Lebenspart nerin des Versicherten aufgeführt (Urk. 8/2/5). Fehlt die Geschlechtsgemein schaft oder die wirtschaft liche Komponente, leben die Partner aber trotzdem in einer festen und ausschliesslichen Zweierbeziehung, halten sie sich gegenseitig die Treue und leisten sich umfassenden Beistand, so ist eine eheähnliche Gemeinschaft zu bejahen (BGE 118 II 235 E. 3b mit weiteren Hinweisen).</w:t>
      </w:r>
    </w:p>
    <w:p>
      <w:r>
        <w:t>Aufgrund der bei den Akten liegenden Beweismittel ist mit dem im Sozialversi cherungsrecht massgebenden Beweisgrad der überwiegenden Wahrscheinlich keit erstellt, dass zwischen dem Versicherten und der Klägerin 2 vor dessen Tod eine mindestens 10 Jahre dauernde Lebensge mein schaft bestand. Von weiteren Abklärungen sind keine zusätzlichen entscheidrelevanten Auf schlüsse zu er warten.</w:t>
      </w:r>
    </w:p>
    <w:p>
      <w:r>
        <w:rPr>
          <w:b/>
        </w:rPr>
        <w:t>E. 4.2.5</w:t>
      </w:r>
    </w:p>
    <w:p>
      <w:r>
        <w:t>Weil die Klägerin 2 mit dem Versicherten demnach in den letzten fünf Jahren bis zu seinem Tod am 21. April 2014 ununterbrochen eine Lebensge meinschaft geführt hat, hat sie gemäss Ziff. 17.1.1 lit . a Abs. 2 der Reglementsbestimmun gen Anspruch auf Beitragsrückgewähr in der Höhe von Fr. 354‘372.60. Bei diesem Ergebnis braucht nicht mehr geprüft zu werden, ob die Klägerin 2 vom Versicherten auch in erheblichen Masse unterstützt worden ist (Ziff. 17.1.1 lit . a Abs. 2 der Reglementsbestimmungen ).</w:t>
      </w:r>
    </w:p>
    <w:p>
      <w:r>
        <w:rPr>
          <w:b/>
        </w:rPr>
        <w:t>E. 5.1</w:t>
      </w:r>
    </w:p>
    <w:p>
      <w:r>
        <w:t>Im Berufsvorsorgerecht werden sowohl im Leistungs- wie auch im Beitragsbe reich Verzugszinsen zugelassen. Die zu bezahlenden Verzugszinsen ergeben sich in erster Linie aus dem Reglement der Vorsorgeeinrichtung. Bei Fehlen entspre chender Regelungen ist Art. 104 Abs. 1 des Obligationenrecht s ( OR) heranzu zie hen, wonach ein Verzugszins von 5 % geschuldet ist ( BGE 119 V 131</w:t>
      </w:r>
    </w:p>
    <w:p>
      <w:r>
        <w:t>E. 4b ; Urteil des Bundesgerichts 9C_418/2014 E. 4.1; je mit weiteren Hinweisen ). So dann gelten reglementarische Leistungsansprüche n ach der Rechtsprechung des Bundesgerichts als Forderungen mit einem bestimmten Verfalltag, weshalb die Vorsorgeeinrichtung grundsätzlich in Verzug gerät, ohne dass eine Mah nung des Versicherten nötig wäre ( BGE 127 V 377</w:t>
      </w:r>
    </w:p>
    <w:p>
      <w:r>
        <w:t>E. 5e/ bb ; Urteil des Bundes gerichts 9C_418/2014 E. 4.1 ; je mit weiteren Hinweisen).</w:t>
      </w:r>
    </w:p>
    <w:p>
      <w:r>
        <w:rPr>
          <w:b/>
        </w:rPr>
        <w:t>E. 5.2</w:t>
      </w:r>
    </w:p>
    <w:p>
      <w:r>
        <w:t>Gemäss Ziff. 26.3.1 der Reglementsbestimmungen werden Kapitalleistungen vier Wochen, nachdem die zur Anspruchsbegründung notwendigen Dokumente ein gereicht worden sind, fällig. Ferner bestimmt Ziff. 26.4.1 der Reglementsbestim mungen , dass für alle anderen fälligen Leistungen als die fälligen Austritts leis tungen der vom Bundesrat festgelegte Zinssatz für das Altersguthaben gilt (Urk. 7/17).</w:t>
      </w:r>
    </w:p>
    <w:p>
      <w:r>
        <w:t>Weil die A.___ (Schweiz) AG bei der Beklagten am 1 2. Mai 2014 die Todesfallmel dung erstattete und in diesem Formular die Klägerin 2 als Lebens partnerin bezeichnet wurde ( Urk. 8/2/5), stehen der Klägerin 2 folgende Ver zugszinsen zu: ab dem 12.</w:t>
      </w:r>
    </w:p>
    <w:p>
      <w:r>
        <w:t>Juni 2014 1,75 Prozent, ab dem 1.</w:t>
      </w:r>
    </w:p>
    <w:p>
      <w:r>
        <w:t>Januar 2016 1,25 und ab dem 1.</w:t>
      </w:r>
    </w:p>
    <w:p>
      <w:r>
        <w:t>Januar 2017 1 Prozent ( Ziff. 26.3.1 und 26.4.1 der Reglements bestimmungen in Verbindung mit Art. 12 der Ver ordnung über die berufliche Alters-, Hinterl assenen- und Invalidenvorsorge [ BVV 2 ] ).</w:t>
      </w:r>
    </w:p>
    <w:p>
      <w:r>
        <w:rPr>
          <w:b/>
        </w:rPr>
        <w:t>E. 6</w:t>
      </w:r>
    </w:p>
    <w:p>
      <w:r>
        <w:t>In Gutheissung der Klage der Klägerin 2 vom 2. Mai 2016 ist die Be klagte zu verpflichten, der Klägerin 2 Fr. 354‘373.60 nebst Zins in Höhe des jeweiligen BVG-Mindestzinses gemäss Art. 12 BVV</w:t>
      </w:r>
    </w:p>
    <w:p>
      <w:r>
        <w:t>2 ab 12. Juni 2014 zu bezahlen, das zu 1,75 % von 12. Juni 2014 bis 31. Dezember 2015, zu 1,25 % von 1. Januar bis 31. Dezember 2016 sowie zu 1 % ab 1. Januar 2017.</w:t>
      </w:r>
    </w:p>
    <w:p>
      <w:r>
        <w:rPr>
          <w:b/>
        </w:rPr>
        <w:t>E. 7</w:t>
      </w:r>
    </w:p>
    <w:p>
      <w:r>
        <w:t>Die vertretene Klägerin 2 hat Anspruch auf eine Prozessentschädigung. Damit wird ihr Gesuch vom 2. Mai 2016 um Bestellung einer unentgeltlichen Rechts vertreterin in der Person von Rechtsanwältin Dr. Eliane E. Ganz (Urk. 8/1 S. 2) gegenstandslos.</w:t>
      </w:r>
    </w:p>
    <w:p>
      <w:r>
        <w:t>Mit Honorarnote vom 8. Juni 2017 machte Rechtsanwältin Dr. Eliane E. Ganz einen Aufwand von 86.69 Stunden sowie Barauslagen für Fotokopien und Porto von total Fr. 650.-- geltend (Urk. 40). In diesem Zeitaufwand sind namentlich auch vorprozessuale Abklärungen sowie nicht nachvollziehbare Abklärungen mit einem Computerspezialisten enthalten. Zudem ist der geltend gemachte Aufwand für die rund 8,5-seitige Klageschrift vom 2. Mai 2016 (rund 14 Stun den), die rund 18-seitige Replik vom 11. November 2016 (rund 23 Stunden) und die rund 19,5-seitige Triplik vom 31. Januar 2017 (rund 21 Stunden) zu hoch.</w:t>
      </w:r>
    </w:p>
    <w:p>
      <w:r>
        <w:t>Es rechtfertigt sich daher, die Prozessentschädigung nach der Bedeutung der Streitsache, der Schwierigkeit des Prozesses und des Obsiegens der Klägerin 2 auf Fr. 7‘000.-- (inkl. Barauslagen und MWSt ) festzusetzen. Die Beklagte und der Kläger 1 sind ausgangsgemäss zu verpflichten, diese der Klägerin 2 je hälftig zu bezahlen. Das Gericht erkennt: 1. a) In Gutheissung der Klage der Klägerin 2 vom 2. Mai 2016 wird die Be klagte verpflich tet, der Klägerin 2 Fr. 35 4‘373.60 nebst Zins in Höhe des jeweiligen BVG-Mindestzin ses gemäss Art. 12 BVV</w:t>
      </w:r>
    </w:p>
    <w:p>
      <w:r>
        <w:t>2 ab 12. Juni 2014 zu bezahlen, das heisst zu 1,75 % von 12. Juni 2014 bis 31. Dezember 2015, zu 1,25 % von 1. Januar bis 31. Dezember 2016 sowie zu 1 % ab 1. Januar 2017. b) Die Klage des Klägers 1 wird abgewiesen. 2.</w:t>
      </w:r>
    </w:p>
    <w:p>
      <w:r>
        <w:t>Das Verfahren ist kostenlos. 3.</w:t>
      </w:r>
    </w:p>
    <w:p>
      <w:r>
        <w:t>Die Beklagte wird verpflichtet, der Klägerin 2 eine Prozessentschädigung von Fr. 3‘500 .-- (inkl. Barauslagen und MWSt ) zu bezahlen.</w:t>
      </w:r>
    </w:p>
    <w:p>
      <w:r>
        <w:t>Der Kläger 1 wird verpflichtet, der Klägerin 2 eine Prozessentschädigung von Fr. 3‘500.-- (inkl. Barauslagen und MWSt ) zu bezahlen. 4.</w:t>
      </w:r>
    </w:p>
    <w:p>
      <w:r>
        <w:t>Zustellung gegen Empfangsschein an: - Rechtsanwältin Franziska Ammann - Rechtsanwältin Dr. Eliane E. Ganz - Swisscanto Sammelstiftung der Kantonalbanken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