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BV.2015.00085 vom 24. September 2018</w:t>
      </w:r>
    </w:p>
    <w:p>
      <w:r>
        <w:t>ZH Sozialversicherungsgericht, 2018-09-24, DE</w:t>
      </w:r>
    </w:p>
    <w:p>
      <w:r>
        <w:rPr>
          <w:b/>
        </w:rPr>
        <w:t xml:space="preserve">Quelle: </w:t>
      </w:r>
      <w:r>
        <w:t>https://mcp.opencaselaw.ch/entscheid/zh_sozialversicherungsgericht_BV.2015.00085</w:t>
      </w:r>
    </w:p>
    <w:p>
      <w:r>
        <w:t>FR: ZH_SOZIALVERSICHERUNGSGERICHT BV.2015.00085 du 24 septembre 2018</w:t>
      </w:r>
    </w:p>
    <w:p>
      <w:r>
        <w:t>IT: ZH_SOZIALVERSICHERUNGSGERICHT BV.2015.00085 del 24 settembre 2018</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 spruchs auf Invalidenleistungen sinngemäss die entsprechenden Bestimm ungen des Bundesgesetzes über die Invalidenversicherung (Art. 29 des Bundes gesetzes über die Invalidenversicherung; IVG). Die Invalidenleistungen nach BVG werden von derjenigen Vorsorgeeinrichtung geschuldet, welcher die den An 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 geschieden ist und daher nicht mehr dem Obligatorium unterstanden hat (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 Arbeits unfähigkeit geschuldete Invalidenleistung bleibt die Vorsorgeeinrich tung somit leistungspflichtig, selbst wenn sich nach Beendigung des Vorsorge verhältnisses der Invaliditätsgrad ändert. Entsprechend bildet denn auch der Wegfall der Ver sicherteneigenschaft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 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w:t>
      </w:r>
    </w:p>
    <w:p>
      <w:r>
        <w:rPr>
          <w:b/>
        </w:rPr>
        <w:t>E. 1.5</w:t>
      </w:r>
    </w:p>
    <w:p>
      <w:r>
        <w:t>Befindet sich der Versicherte beim Entstehen des Leistungsanspruchs nicht in der leistungspflichtigen Vorsorgeeinrichtung, so ist jene Vorsorgeeinrichtung vorleis tungspflichtig, der er zuletzt angehört hat. Steht die leistungspflichtige Vorsorge einrichtung fest, so kann die vorleistungspflichtige Vorsorgeeinrichtung auf diese Rückgriff nehmen ( Art. 26 Abs. 4 BVG). 2.</w:t>
      </w:r>
    </w:p>
    <w:p>
      <w:r>
        <w:rPr>
          <w:b/>
        </w:rPr>
        <w:t>E. 2</w:t>
      </w:r>
    </w:p>
    <w:p>
      <w:r>
        <w:t>Vorfrageweise sei festzustellen, dass die Beklagte gegenüber ihrem</w:t>
      </w:r>
    </w:p>
    <w:p>
      <w:r>
        <w:t>früheren Versicherungsnehmer, Y.___ , leistungspflichtig sei und es sei Herr</w:t>
      </w:r>
    </w:p>
    <w:p>
      <w:r>
        <w:t>Y.___ zu diesem Verfahren beizuladen.</w:t>
      </w:r>
    </w:p>
    <w:p>
      <w:r>
        <w:rPr>
          <w:b/>
        </w:rPr>
        <w:t>E. 2.1</w:t>
      </w:r>
    </w:p>
    <w:p>
      <w:r>
        <w:t>Die Vertreterin der Klägerin begründete die Klage im Wesentlichen damit, dass</w:t>
      </w:r>
    </w:p>
    <w:p>
      <w:r>
        <w:t>sie als vorleistungspflichtige Vorsorgeeinrichtung aus eigenem Recht Klage gegen die nach ihrer Ansicht leistungspflichtige Vorsorgeeinrichtung führen könne ( Urk. 1 S. 4). D er Beigeladene sei seit 1. Mai 2004 in dem nach dem Recht der beruflichen Vorsorge massgebenden Umfang von 20 % arbeitsunfähig. Da er zu dem in der Zeit vom 7. Mai bis 3 0. September 2004 Taggelder der Arbeits losen versicherung bezog en habe , sei die Leistungspflicht der Klägerin nicht gegeben ( S.</w:t>
      </w:r>
    </w:p>
    <w:p>
      <w:r>
        <w:t>6). Dies entspreche auch der Einschätzung der IV-Stelle, welche nicht offen sichtlich unrichtig sei , so dass vorliegend der Beginn der einjährigen Wartezeit für die Ermittlung des vorsorgerechtlichen Versicherungsfalls massgebend sei. Da Dr. A.___ den Beigeladenen seit dem 3 1. Oktober 2002 behandelt habe, komme seinem Bericht vom 2. Dezember 2004 echtzeitlicher Charakter zu. Der Angabe bei der Arbeitslosenversicherung über eine Vermittlungsfähigkeit von 100 % bis Juli 2004 komme dabei k eine entscheidende Bedeutung zu (S. 11). Auch die Pensumsreduktion auf 90 % ab 1. Juni 2003 sei im Zusammenhang mit der MS-Erkrankung zu sehen. Weiter habe der Beigeladene nach der Kündigung per April 2004 nie mehr voll gearbeitet, sodass sowohl der sachliche als auch der zeitliche Konnex gegeben seien (S. 12). Falls die Leistungspflicht der Beklagten nicht bejaht werde, sei eventualiter festzustellen, dass die Klägerin nicht leistungs pflichtig sei (S. 13 ; vgl. auch Urk. 18 ).</w:t>
      </w:r>
    </w:p>
    <w:p>
      <w:r>
        <w:rPr>
          <w:b/>
        </w:rPr>
        <w:t>E. 2.2</w:t>
      </w:r>
    </w:p>
    <w:p>
      <w:r>
        <w:t>Demgegenüber machte die Beklagte im Wesentlichen geltend, dass sie zwar im IV-rechtlichen Verfahren involviert gewesen sei. Dennoch sei bezüglich des Be ginns der Arbeitsunfähigkeit keine Bindungswirkung gegeben, da der Rentenan spruch nach Beendigung der Taggeldberechtigung entstanden sei. Entsprechend wäre die Beklagte durch dieses Begründungselement nicht beschwert gewesen, sodass ein Gericht auf eine dahinzielende Beschwerde nicht eingetreten wäre ( Urk.</w:t>
      </w:r>
    </w:p>
    <w:p>
      <w:r>
        <w:rPr>
          <w:b/>
        </w:rPr>
        <w:t>E. 3</w:t>
      </w:r>
    </w:p>
    <w:p>
      <w:r>
        <w:t>Eventualiter sei festzustellen, dass die Klägerin keine Leistungen zu</w:t>
      </w:r>
    </w:p>
    <w:p>
      <w:r>
        <w:t>erbringen habe.</w:t>
      </w:r>
    </w:p>
    <w:p>
      <w:r>
        <w:rPr>
          <w:b/>
        </w:rPr>
        <w:t>E.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 rung 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 Diese Bindungswirkung setzt voraus, dass die Vorsorgeeinrichtung (spätestens) ins Vorbescheidverfahren ( aArt . 73 bis IVV; seit 1. Juli 2006: Art. 73 ter IVV) einbe zogen und ihr die Rentenverfügung formgültig eröffnet wurde (Urteil des Bun desgerichts 9C_81/2010 vom 16. Juni 2010 E. 3.1, mit Hinweisen). Dem BVG-Versicherer steht ein selbständiges Beschwerderecht im Verfahren nach IVG zu. Unterbleibt ein solches Einbeziehen der Vorsorgeeinrichtungen, ist die IV-recht 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w:t>
      </w:r>
    </w:p>
    <w:p>
      <w:r>
        <w:rPr>
          <w:b/>
        </w:rPr>
        <w:t>E. 3.2</w:t>
      </w:r>
    </w:p>
    <w:p>
      <w:r>
        <w:t>D urch die IV- Akten ist belegt , dass die i nvalidenversicherungsrechtliche</w:t>
      </w:r>
    </w:p>
    <w:p>
      <w:r>
        <w:t>Renten zusprache</w:t>
      </w:r>
    </w:p>
    <w:p>
      <w:r>
        <w:t>nach mehrjährigen beruflichen Massnahmen mit Taggeldbezug erfolgte. Der Festsetzung des Beginns des Wartejahres per Mai 2004 ( Urk. 13/126 S. 2) kommt damit für die Rentenzusprache keine entscheidende Bedeutung zu . Die Beklagte wies diesbezüglich zu Recht darauf hin, dass im Rahmen des IV-Ver fahrens eine beschwerdeweise Anfechtung des Beginns des Wartejahres mangels Rechtsschutzinteresse nicht möglich gewesen wäre. B ezüglich des Beginns der massgebenden Arbeitsunfähigkeit besteht demnach keine Bindungswirkung, was zur freien Prüfung im vorliegenden Verfahren führt. 4.</w:t>
      </w:r>
    </w:p>
    <w:p>
      <w:r>
        <w:rPr>
          <w:b/>
        </w:rPr>
        <w:t>E. 4</w:t>
      </w:r>
    </w:p>
    <w:p>
      <w:r>
        <w:t>Alles unter o/e- Kostenfolge.»</w:t>
      </w:r>
    </w:p>
    <w:p>
      <w:r>
        <w:t>Mit Klageantwort vom 7. März 2016 beantragte die Beklagte die Abweisung der Klage, soweit darauf einzutreten sei; unter Kosten- und Entschädigungsfolgen ( Urk.</w:t>
      </w:r>
    </w:p>
    <w:p>
      <w:r>
        <w:rPr>
          <w:b/>
        </w:rPr>
        <w:t>E. 4.1</w:t>
      </w:r>
    </w:p>
    <w:p>
      <w:r>
        <w:t>Dr. A.___ diagnostizierte in seinem Bericht vom 2. Dezember 2004 mit Auswirkung auf die Arbeitsfähigkeit Multiple Sklerose seit 200 1. In der ange stammten Tätigkeit als Koch sei ab 1. Mai 2004 von einer 70%igen Arbeits un fähigkeit auszugehen. In einer angepassten Tätigkeit sollte eine Arbeitsfähigkeit von 80 % realisierbar sein ( Urk. 13/33 S. 1 f.).</w:t>
      </w:r>
    </w:p>
    <w:p>
      <w:r>
        <w:rPr>
          <w:b/>
        </w:rPr>
        <w:t>E. 4.2</w:t>
      </w:r>
    </w:p>
    <w:p>
      <w:r>
        <w:t>In seinem vom Gericht angeforderten Bericht vom 1 0. Oktober 2017 führte Dr. A.___ aus, dass die Arbeitsunfähigkeit beim B eigeladenen am 1. Juni 200 3 begonnen habe, mit einem Arbeitsunfähigkeitsgrad von 10 % . Zu diesem Zeit punkt sei der Beigeladene als Koch tätig gewesen. Ab dem 1. Mai 2004 habe die Arbeitsunfähigkeit im angestammten Beruf als Koch 70 % und im Bürobereich 20 % betragen , mit der Einschränkung einer um 50 % reduzierten Leistungs fähigkeit. Während der Ausbildung zum Bürokaufmann habe sich die Erkrankung verschlechtert, so dass ab 1. März 2007 noch von einer Arbeitsfähigkeit von 50 % auszugehen sei. Der Beigeladene sei bis zum 2 6. Mai 2009 in seine Sprechstunde gekommen ( Urk. 28). 5. 5.1</w:t>
      </w:r>
    </w:p>
    <w:p>
      <w:r>
        <w:t>Die Vertreterin der Klägerin äusserte sich in ihrer Stellungnahme vom 1 1. Dezem ber 2007 zum Bericht von Dr. A.___ vom 1 0. Oktober 2017 dahingehend, dass dieser die Angaben in der Klage und in der Replik bestätige; dies ergebe sich auch aus den Kopien der Krankengeschichte ( Urk. 34).</w:t>
      </w:r>
    </w:p>
    <w:p>
      <w:r>
        <w:t>Die Beklagte äusserte sich zum neu eingeholten Arztbericht mit Schreiben vom 6. Dezember 201 7. Der beigelegten Krankengeschichte könne die Feststellung einer 20%igen Arbeitsunfähigkeit im Bürobereich ab 1. Mai 2004 nicht ent nommen werden. Bis zur Konsultation vom 5. August 2004 würden die Einträge keine Angaben zur Arbeitsfähigkeit enthalten, erst am 2 4. November 2004 pos tuliere Dr. A.___ eine 30%ige Arbeitsfähigkeit in der Tätigkeit als Koch rück wirkend ab 1. Mai 2004, wobei für eine angepasste Tätigkeit eine 80 bis 90%ige Arbeitsfähigkeit beschrieben werde. Sowohl bei den Einträgen vom 2 4. November 2004 und umso mehr beim Bericht vom 1 0. Oktober 2017 handle es sich um eine rückwirkende Einschätzung, die nicht echtzeitlich belegt sei (Urk. 33). 5.2 5.2.1 Wie bereits erwähnt ist zunächst der Beginn der massgebenden Arbeitsun fähigkeit zu ermitteln. Eine solche ist relevant, w enn sie mindestens 20 % beträgt und sich auf das Arbeitsverhältnis sinnfällig auswirkt oder ausgewirkt hat. Es muss arbeitsrechtlich in Erscheinung treten, dass die versicherte Person im bis herigen Beruf an Leistungsvermögen eingebüsst hat, so etwa durch einen Abfall der Leistungen mit entsprechender Feststellung oder gar Ermahnung des Arbeit gebers oder durch gehäufte, gesundheitlich bedingte Arbeitsausfälle. Der Zeit 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 9C_91/2013 vom 1 7. Juni 2013 E. 4.1.2). 5.2.2 Gestützt auf die vorliegenden Akten und entgegen den Ausführungen von Dr. A.___ kann dabei davon ausgegangen werden, dass der Beigeladene ab 1 5. Juli 2002 als Call Center Agent und im Anschluss daran bis zum 3 0. April 2004 als Mitarbeiter Innendienst erwerbstätig war ( Urk. 13/18/3-4). Als ange stammte Tätigkeit ist demnach von einer Bürotätigkeit auszugehen, welche der Beigeladene ab 1. Juni 2003 bei einem Pensum von 90 % verrichtete. Den An gaben des Arbeitgebers kann dabei nicht entnommen werden, dass der Lohn nicht der Arbeitsleistung entsprochen hat ( Urk. 13/28 S. 2). Weiter ergeben sich aus der Absenzenübersicht der Jahre 2002 bis 2004 eine krankheitsbedingte Abwesenheit von drei Tagen im November 2002 sowie eine solche im Januar 2003 von zwei Tagen . Die Auflösung des Arbeitsverhältnisses erfolgte weiter aus wirtschaft lichen Gründen und die gegenüber der Arbeitslosenversicherung angegebene Vermittlungsfähigkeit betrug in der Zeit vom 7. Mai 2004 bis 6. Juni 2004 100 % ( Urk. 13/28/4 ff., Urk. 13/30). Aus erwerblicher Sicht kann demnach festgehalten werden, dass der Arbeit geber bis zum 3 0. April 2004 (letzter effektiver Arbeitstag, Urk. 13/28/1) keine Leis tungsminderung feststellen konnte, im Anschluss daran wurde auch gegenüber den zuständigen Organen der Arbeitslosenversicherung eine volle Leistungs fähig keit abgegeben. Auch die krankheitsbedingten Absenzen lassen nicht auf einen wesentlichen Einfluss der MS-Erkrankung auf die Arbeitsleistung schliessen. Selbst wenn somit die Reduktion des Pensums auf 90 % aus gesundheitlichen Gründen erfolgt wäre, könnte aus erwerblicher Sicht per 1. Mai 2004 nicht auf eine massgebende Arbeitsunfähigkeit in der Höhe von 20 % geschlossen werden. 5.2.3 Bezüglich der medizinisch attestierten Arbeitsunfähigkeit ist entsprechend der zitierten Rechtsprechung in erster Linie von der echtzeitlichen Einschätzung der Sachlage auszugehen. Da keine echtzeitlichen ärztlichen Berichte vorliegen , kommt der eingereich ten Krankengeschichte erhöhte Bedeutung zu. Nach Auf lösung des Arbeitsverhältnisses ist eine erste Konsultation bei Dr. A.___ am 5. August 2004 dokumentiert. Der Beigeladene habe dabei nach einer Fahrt mit dem Motorrad über ein anschliessendes Schweregefühl im rechten Bein berichtet, wobei er deswegen schlechter gehen könne. Auch bezüglich des rechten Armes sei er unsicher und könne den Bleistift kaum halten; weiter vermerkte Dr. A.___</w:t>
      </w:r>
    </w:p>
    <w:p>
      <w:r>
        <w:t>die Arbeitslosigkeit seit 1. Mai</w:t>
      </w:r>
    </w:p>
    <w:p>
      <w:r>
        <w:t>200 4. Anlässlich der Untersuchung vom 2 4. Novem ber 2004 hielt Dr. A.___ fest, dass es recht ordentlich gehe, der Bei geladene habe eine 20 % -Stelle und sei bei der IV zur Berufsberatung und Umschulung angemeldet. Als Koch sei seit 1. Mai 2004 von einer Arbeitsfähigkeit von 30 % auszugehen, in einer angepassten Tätigkeit von einer solchen von 80-90 % ( Urk. 30 /1 Blatt 2).</w:t>
      </w:r>
    </w:p>
    <w:p>
      <w:r>
        <w:t>Auch wenn somit Dr. A.___ in seinem neusten Bericht vom 1 0. Oktober 2017 in einer angepassten Tätigkeit eine 20%ige Arbeitsunfähigkeit ab 1. Mai 2004 bestätigt, ergibt sich dies so nicht aus den echtzeitlichen Unterlagen. Es ist zwar am 5. August 2004 eine Zustandsverschlechterung dokumentiert, allerdings ohne dass dies zur Attestierung einer Arbeitsunfähigkeit führte; eine solche ergibt sich erst aus dem Eintrag vom 2 4. November 200 4. Für den Zeitraum vom 1. Mai 2004 bis zum ersten Taggeldbezug am 7. Mai 2004 ist demnach eine Arbeitsunfähigkeit in der angestammten Tätigkeit von 20 % nicht echtzeitlich nachgewiesen und es findet sich auch in den weiteren Akten kein Hinweis, welcher die rückwirkende Einschätzung von Dr. A.___ als überwiegend wahrscheinlich erscheinen liesse. Vor diesem Hintergrund ist festzuhalten, dass eine Leistungspflicht der Beklagten entfällt. 5.2.4</w:t>
      </w:r>
    </w:p>
    <w:p>
      <w:r>
        <w:t>Ein erster Anknüpfungspunkt für eine relevante Leistungseinbusse ergibt sich aufgrund der Reduktion der Vermittlungsfähigkeit per 7. Juni 2004 auf 80 % , welche beim Beigeladenen auch mit einem finanziellen Verlust einherging. Auf grund der am 5. August 2004 dokumentierten Zustandsverschlechterung sowie der nunmehr rückwirkend attestierten Arbeitsunfähigkeit von 20 % ist damit in einer Würdigung der gesamten Umstände von einem Eintritt der massgebenden Arbeitsunfähigkeit per 7. Juni 2004 auszugehen. Hinzuweisen ist dabei , dass es nach der Rechtsprechung des Bundesgerichts nicht zwingend einer echtzeitlich attestierten Arbeitsunfähigkeit zum rechtsgenüglichen Nachweis einer berufs vor sorgerechtlich relevanten Einbusse an funktionellem Leistungsvermögen bedarf (Urteil des Bundesgerichts 9C_100/2018 vom 2 1. Juni 201</w:t>
      </w:r>
    </w:p>
    <w:p>
      <w:r>
        <w:rPr>
          <w:b/>
        </w:rPr>
        <w:t>E. 7</w:t>
      </w:r>
    </w:p>
    <w:p>
      <w:r>
        <w:t>S. 8). Während des Arbeitsverhältnisses sei lediglich eine 3-tägige und eine 2-tägige Arbeitsunfähigkeit ausgewiesen; auch sei die Kündigung aus wirtschaftlichen und nicht aus gesundheitlichen Gründen erfolgt (S. 9). Die Ein schätzung von Dr. A.___ in seinem Bericht vom 2. Dezember 2004 sei verspätet und in sich nicht überzeugend ( S. 10).</w:t>
      </w:r>
    </w:p>
    <w:p>
      <w:r>
        <w:t>Duplicando führte die Beklagte ergänzend aus, dass die Pensumsreduktion um 10 % nicht geeignet sei, die Zuständigkeit der Beklagten zu begründen. Vor liegend liege bis mindestens zum 7. Juni 2004 keine vom Arbeitgeber bemerkte oder von einem Arzt bestätigte Arbeitsunfähigkeit vor ( Urk. 21 S. 3 f.). 3.</w:t>
      </w:r>
    </w:p>
    <w:p>
      <w:r>
        <w:rPr>
          <w:b/>
        </w:rPr>
        <w:t>E. 8</w:t>
      </w:r>
    </w:p>
    <w:p>
      <w:r>
        <w:t>E. 4.2.2). Während es somit für den Monat Mai 2004 an einem echtzeitlichen Anknüpfungspunkt für die rückwirkend attestierte Arbe itsunfähigkeit von 20 % mangelt , ist ein solcher für die Zeit nach dem 7. Juni 2004 überwiegend wahrscheinlich . Dies führt auf grund des unbestrittenen Taggeldbezuges in der Zeit vom 7. Mai bis 3 0. Septem ber 2004 ( Urk. 1 S. 6) zur Bejahung der Leistungspflicht der Klägerin. Dass sich die Leistungsfähigkeit des Beschwerdeführers in der Zeit ab 1. Oktober 2004 nochmals nachhaltig verbesserte, ist durch die medizinischen Akten widerlegt (vgl. etwa Urk. 28) und wird auch von der Klägerin nicht geltend gemacht. 5.3</w:t>
      </w:r>
    </w:p>
    <w:p>
      <w:r>
        <w:t>Zusammenfassend führt dies in Feststellung der Leistungsp f licht der Klägerin zur Abweisung der Klage. 6 .</w:t>
      </w:r>
    </w:p>
    <w:p>
      <w:r>
        <w:t>Der Beklagten steht in ihrer Funktion als Trägerin der beruflichen Vorsorge trotz ihres Obsiegens keine Prozessentschädigung zu (§ 34 Abs. 2 GSVGer ; vgl. statt vieler: BGE 128 V 124 E. 5b).</w:t>
      </w:r>
    </w:p>
    <w:p>
      <w:r>
        <w:t>Der in eigener Sache prozessierende Beigeladene, welcher für den vorliegenden Prozess keine Kosten für eine Rechtsvertreterin oder einen Rechtsvertreter geltend macht, hat ebenfalls keinen Anspruch auf eine Prozessentschädigung (zum An spruch von Beigeladenen auf eine Prozessentschädigung: Wilhelm, in: Gesetz über das Sozialversicherungsgericht des Kantons Zürich, 2. Aufl., 2009, N 3 zu § 34 GSVGer ). Das Gericht erkennt: 1.</w:t>
      </w:r>
    </w:p>
    <w:p>
      <w:r>
        <w:t>Die Klage wird abgewiesen. 2.</w:t>
      </w:r>
    </w:p>
    <w:p>
      <w:r>
        <w:t>Das Verfahren ist kostenlos. 3.</w:t>
      </w:r>
    </w:p>
    <w:p>
      <w:r>
        <w:t>Der Beklagten</w:t>
      </w:r>
    </w:p>
    <w:p>
      <w:r>
        <w:t>sowie dem Beigeladenen wird keine Prozessentschädigung zugesprochen. 4.</w:t>
      </w:r>
    </w:p>
    <w:p>
      <w:r>
        <w:t>Zustellung gegen Empfangsschein an: - Advokatin Gertrud Baud - Pensionskasse X.___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