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BV.2015.00046 vom 28. November 2016</w:t>
      </w:r>
    </w:p>
    <w:p>
      <w:r>
        <w:t>ZH Sozialversicherungsgericht, 2016-11-28, DE</w:t>
      </w:r>
    </w:p>
    <w:p>
      <w:r>
        <w:rPr>
          <w:b/>
        </w:rPr>
        <w:t xml:space="preserve">Quelle: </w:t>
      </w:r>
      <w:r>
        <w:t>https://mcp.opencaselaw.ch/entscheid/zh_sozialversicherungsgericht_BV.2015.00046</w:t>
      </w:r>
    </w:p>
    <w:p>
      <w:r>
        <w:t>FR: ZH_SOZIALVERSICHERUNGSGERICHT BV.2015.00046 du 28 novembre 2016</w:t>
      </w:r>
    </w:p>
    <w:p>
      <w:r>
        <w:t>IT: ZH_SOZIALVERSICHERUNGSGERICHT BV.2015.00046 del 28 novembre 2016</w:t>
      </w:r>
    </w:p>
    <w:p>
      <w:pPr>
        <w:pStyle w:val="Heading2"/>
      </w:pPr>
      <w:r>
        <w:t>Erwägungen</w:t>
      </w:r>
    </w:p>
    <w:p>
      <w:r>
        <w:rPr>
          <w:b/>
        </w:rPr>
        <w:t>E. 1</w:t>
      </w:r>
    </w:p>
    <w:p>
      <w:r>
        <w:t>X.___ , geboren 1949, war bei der Y.___ AG tätig und damit ab</w:t>
      </w:r>
    </w:p>
    <w:p>
      <w:r>
        <w:rPr>
          <w:b/>
        </w:rPr>
        <w:t>E. 1.2</w:t>
      </w:r>
    </w:p>
    <w:p>
      <w:r>
        <w:t>Demgegenüber führte die Beklagte aus, um die J ahrtausendwende habe sie sich in einer signifikanten Unterdeckung befunden und im Zeitpunkt des Inkrafttre tens der Reglementsänderung am 1. Januar 2005 habe die Vorsorgeeinrichtung noch einen Deckungsgrad von 93.</w:t>
      </w:r>
    </w:p>
    <w:p>
      <w:r>
        <w:rPr>
          <w:b/>
        </w:rPr>
        <w:t>E. 3</w:t>
      </w:r>
    </w:p>
    <w:p>
      <w:r>
        <w:t>1. Januar 1998 garantiert worden. Das heisse jedoch nicht, dass d iese Garantie unter der Anna hme gestan den habe , dass die überne hmende Pensionskasse (Beklagte) sein Alterskapital regelmässig zu 4 % hätte verzinsen müssen. In der Besitzstandswahrung sei ein Al terskapital in einem Betrag von Fr. 629'999. -- garantiert worden und nicht eine Verzinsung. Dies hange damit zusammen, dass der Kläger bei der " Z.___ " besser versichert gewesen sei . Auch</w:t>
      </w:r>
    </w:p>
    <w:p>
      <w:r>
        <w:t>sei ihm später dieser Besi tzstand individuell und nicht ein Zinsverlauf zugesichert wor den .</w:t>
      </w:r>
    </w:p>
    <w:p>
      <w:r>
        <w:t>Der Kläger wolle für sich nicht einfach eine Besserstellung entgegen der Entwicklung seines Alterskapitals , sondern die Altersrente, welche sich aus dem individuell zugesicherten Besitzstand ergebe . Dazu habe er etwa auch Beiträge vor der Einführung des Obligatoriums 1985 geleistet. Dafür sei er bei der " Z.___ " besser versichert gewesen. Die sen Besitzstand hätte die " Z.___ " wohl auch erwirtschaftet. Er sei nicht verantwortlich dafür, dass es der Beklagten angeblich nicht wie anderen Pensionskassen gelungen sei , eine solche Perfor mance zu erreichen. Die Beklagte könne sich somit n icht auf die " clausula</w:t>
      </w:r>
    </w:p>
    <w:p>
      <w:r>
        <w:t>rebus sic</w:t>
      </w:r>
    </w:p>
    <w:p>
      <w:r>
        <w:t>stantibus " berufen . Sie</w:t>
      </w:r>
    </w:p>
    <w:p>
      <w:r>
        <w:t>berufe sich lediglich rückwirkend auf eine Unterde ckung, mit welcher sie nie argumentiert habe und welche nicht belegt sei. Unabhängig vom Ausgang des Verfahrens seien deshalb die Kosten der Beklag ten aufzuerlegen ( Urk. 14 ).</w:t>
      </w:r>
    </w:p>
    <w:p>
      <w:r>
        <w:rPr>
          <w:b/>
        </w:rPr>
        <w:t>E. 8</w:t>
      </w:r>
    </w:p>
    <w:p>
      <w:r>
        <w:t>S. 4 ff. ).</w:t>
      </w:r>
    </w:p>
    <w:p>
      <w:r>
        <w:t>Duplicando führte die Beklagte aus, d ie Zusicherung eines projizierten Alters kapi tals basiere immer auf der Annahme, dass das Alterskapital entspre chend bekannten B eiträgen weiter aufgebaut und ebenfalls mit entsprechend bekann ten Zinssätzen jeweils verzinst werde . Bezüglich der Verzinsung seien</w:t>
      </w:r>
    </w:p>
    <w:p>
      <w:r>
        <w:t>Ver änderungen eingetreten , die das oberste Organ vera nlasst hätten , zur Wieder herstellung und Aufrechterhaltung des finanziellen Gleichgewichts auf die gegeben en</w:t>
      </w:r>
    </w:p>
    <w:p>
      <w:r>
        <w:t>Zusagen zurückzukommen und diese aufzuheben. Worauf die Unter deckung der Beklagten zurückzuführen sei, interessiere hierbei nicht . Anhaltspunkte, dass die Unterdeckung au f Misswirtschaft zurückzuführen sei,</w:t>
      </w:r>
    </w:p>
    <w:p>
      <w:r>
        <w:t>würden sich keine ergeben, weshalb die Behauptung, die auch</w:t>
      </w:r>
    </w:p>
    <w:p>
      <w:r>
        <w:t>haftungsrechtli che Verantwortlichkeiten impliziere ,</w:t>
      </w:r>
    </w:p>
    <w:p>
      <w:r>
        <w:t>zurückzuweisen sei . Die Höhe der ausge richteten Altersrente entspreche dem vorhandenen Altersguthaben. Dieses sei durch Beiträge und Verm ögenserträge gebildet worden . Für ein höheres Alters guthaben best ehe weder ein Rechtsanspruch noch eine finanzielle Grundlage ( Urk. 18) . 2 . 2 .1</w:t>
      </w:r>
    </w:p>
    <w:p>
      <w:r>
        <w:t>Zentraler Streitpunkt und für den Ausgang des v orliegenden Verfahrens ent schei dend ist die Frage , ob eine früher gegebene Zusicherung durch ein spä teres Reglement</w:t>
      </w:r>
    </w:p>
    <w:p>
      <w:r>
        <w:t>aufgehoben werden kann oder nicht. 2 .2 2 .2.1</w:t>
      </w:r>
    </w:p>
    <w:p>
      <w:r>
        <w:t>In der Mitteilung der Y.___ AG an alle Mitarbeitenden vom 23.</w:t>
      </w:r>
    </w:p>
    <w:p>
      <w:r>
        <w:t>Okto ber 1998 wurde festgehalten, dass</w:t>
      </w:r>
    </w:p>
    <w:p>
      <w:r>
        <w:t>intensive Diskussionen und Beratun gen im Zusammen hang mit einer Neuausrichtung der eigenen Personalvorsorge geführt worden seien . In diesem Zusammenhang hätten die Expertenberichte gezeigt, dass die bisherige gesplittete Vorsorge aufgehoben und eine umhül lende Lösung angestrebt werden sollte. D ie Mitglieder des Kassa vorstandes und des Stiftungs rates</w:t>
      </w:r>
    </w:p>
    <w:p>
      <w:r>
        <w:t>hätten sich deshalb für eine ei gene autonome Pensionskasse im Sinne einer eigene n Stiftung mit Rückversicherung der Risik oleistungen entschieden . Hierzu gehöre auch die Erstellung eines neuen Vorsorgereglements, die genaue Überprüfung des bisherigen Risikoverlaufs und die Aufstellung eines neuen Leistungs- und Finanzierungsplans, wobei in diesem Punkt der Grundsatz gelte, dass das bisherig e Leistungsniveau beibehalten werde und die Regle ments ände rung die erworbenen Rechte der Versicherten nicht schmälern dürfe ( Urk. 15/4). 2.2.2</w:t>
      </w:r>
    </w:p>
    <w:p>
      <w:r>
        <w:t>In d er Übergangsregelung zum Reglement vom 1. Januar 1999 ( Urk. 2/2) wurde festgehalten, dass zusätzlich zu den Leistungen gemäss Reglement der Pensi ons kasse der Schlatter Gruppe vom 1. Januar 1999 für Versicherte, welche am 3 1. Dezember 1998 bei der Schlatter-Gruppe unter den Verträgen der Z.___ versichert gewesen seien , die folgende Rechte gelte n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